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val="1"/>
        <w:jc w:val="both"/>
      </w:pPr>
      <w:r>
        <w:rPr>
          <w:rtl w:val="1"/>
          <w:sz w:val="24"/>
          <w:szCs w:val="24"/>
        </w:rPr>
        <w:t xml:space="preserve">לסמן. גמרא, יש דברים שמותרים ואסורים מפני </w:t>
      </w:r>
      <w:r>
        <w:rPr>
          <w:rtl w:val="1"/>
          <w:b/>
          <w:bCs/>
          <w:sz w:val="24"/>
          <w:szCs w:val="24"/>
        </w:rPr>
        <w:t xml:space="preserve">הערמת ריבית</w:t>
      </w:r>
      <w:r>
        <w:rPr>
          <w:rtl w:val="1"/>
          <w:sz w:val="24"/>
          <w:szCs w:val="24"/>
        </w:rPr>
        <w:t xml:space="preserve"> וכו'. כתב </w:t>
      </w:r>
      <w:r>
        <w:rPr>
          <w:rtl w:val="1"/>
          <w:b/>
          <w:bCs/>
          <w:sz w:val="24"/>
          <w:szCs w:val="24"/>
        </w:rPr>
        <w:t xml:space="preserve">הרמב"ן</w:t>
      </w:r>
      <w:r>
        <w:rPr>
          <w:rtl w:val="1"/>
          <w:sz w:val="24"/>
          <w:szCs w:val="24"/>
        </w:rPr>
        <w:t xml:space="preserve">, יש מפרשים דלאו הערמה בריבית הוא אלא הערמה בעלמא לכתחילה, ובית דין גובין אותו אם עבר ועשה כן וכו'. </w:t>
      </w:r>
      <w:r>
        <w:rPr>
          <w:rtl w:val="1"/>
          <w:b/>
          <w:bCs/>
          <w:sz w:val="24"/>
          <w:szCs w:val="24"/>
        </w:rPr>
        <w:t xml:space="preserve">ובנימוקי יוסף</w:t>
      </w:r>
      <w:r>
        <w:rPr>
          <w:rtl w:val="1"/>
          <w:sz w:val="24"/>
          <w:szCs w:val="24"/>
        </w:rPr>
        <w:t xml:space="preserve"> הוסיף, אי לית ליה פירי.</w:t>
      </w:r>
    </w:p>
    <w:p>
      <w:pPr>
        <w:bidi w:val="1"/>
        <w:jc w:val="both"/>
      </w:pPr>
      <w:r>
        <w:rPr>
          <w:rtl w:val="1"/>
          <w:sz w:val="24"/>
          <w:szCs w:val="24"/>
        </w:rPr>
        <w:t xml:space="preserve">בצורך יותר, דפשוטו רגע האיסור הוא אמנם בשעת המכירה בזול, אך כיון דשוי הכדי מהדרא ליה פירי, אם כן תימא הוא שמותר לו להחזיר מעות בלית ליה פירי. וביאור בזה, דהאיסור לקצוץ על מנת להחזיר לו מעות ולא החזרה בפועל. אלא דאם כן תימא, אמאי הוי הלוואה או מכירה גמורה? ותו תימא, אמאי שויה </w:t>
      </w:r>
      <w:r>
        <w:rPr>
          <w:rtl w:val="1"/>
          <w:b/>
          <w:bCs/>
          <w:sz w:val="24"/>
          <w:szCs w:val="24"/>
        </w:rPr>
        <w:t xml:space="preserve">נימוקי יוסף</w:t>
      </w:r>
      <w:r>
        <w:rPr>
          <w:rtl w:val="1"/>
          <w:sz w:val="24"/>
          <w:szCs w:val="24"/>
        </w:rPr>
        <w:t xml:space="preserve"> דוקא באין לו פירי?</w:t>
      </w:r>
    </w:p>
    <w:p>
      <w:pPr>
        <w:bidi w:val="1"/>
        <w:jc w:val="both"/>
      </w:pPr>
      <w:r>
        <w:rPr>
          <w:rtl w:val="1"/>
          <w:sz w:val="24"/>
          <w:szCs w:val="24"/>
        </w:rPr>
        <w:t xml:space="preserve">הערה חדשה, כריזה. </w:t>
      </w:r>
      <w:r>
        <w:rPr>
          <w:rtl w:val="1"/>
          <w:b/>
          <w:bCs/>
          <w:sz w:val="24"/>
          <w:szCs w:val="24"/>
        </w:rPr>
        <w:t xml:space="preserve">רש"י</w:t>
      </w:r>
      <w:r>
        <w:rPr>
          <w:rtl w:val="1"/>
          <w:sz w:val="24"/>
          <w:szCs w:val="24"/>
        </w:rPr>
        <w:t xml:space="preserve"> דיבור המתחיל "וחזר לקוח ממנו בכ"ד סלעים".</w:t>
      </w:r>
    </w:p>
    <w:p>
      <w:pPr>
        <w:bidi w:val="1"/>
        <w:jc w:val="both"/>
      </w:pPr>
      <w:r>
        <w:rPr>
          <w:rtl w:val="1"/>
          <w:b/>
          <w:bCs/>
          <w:sz w:val="24"/>
          <w:szCs w:val="24"/>
        </w:rPr>
        <w:t xml:space="preserve">רש"י</w:t>
      </w:r>
      <w:r>
        <w:rPr>
          <w:rtl w:val="1"/>
          <w:sz w:val="24"/>
          <w:szCs w:val="24"/>
        </w:rPr>
        <w:t xml:space="preserve"> מדגיש, שהסיבה שהלווה מכר למלווה בכ"ד סלעים במקום במנה זה משום שהיה דחוק למעות ולא יכול להמתין ליום השוק. כלומר אין קשר בין ההוזלה לבין ההלוואה, והוא היה מוזיל כך לכל אחד תו דחוק למזומנים. ורק משום כך הוי </w:t>
      </w:r>
      <w:r>
        <w:rPr>
          <w:rtl w:val="1"/>
          <w:b/>
          <w:bCs/>
          <w:sz w:val="24"/>
          <w:szCs w:val="24"/>
        </w:rPr>
        <w:t xml:space="preserve">הערמת ריבית</w:t>
      </w:r>
      <w:r>
        <w:rPr>
          <w:rtl w:val="1"/>
          <w:sz w:val="24"/>
          <w:szCs w:val="24"/>
        </w:rPr>
        <w:t xml:space="preserve">, דאם לא כן הוי ריבית דרבנן.</w:t>
      </w:r>
    </w:p>
    <w:p>
      <w:pPr>
        <w:bidi w:val="1"/>
        <w:jc w:val="both"/>
      </w:pPr>
      <w:r>
        <w:rPr>
          <w:rtl w:val="1"/>
          <w:sz w:val="24"/>
          <w:szCs w:val="24"/>
        </w:rPr>
        <w:t xml:space="preserve">אמנם, יש </w:t>
      </w:r>
      <w:r>
        <w:rPr>
          <w:rtl w:val="1"/>
          <w:b/>
          <w:bCs/>
          <w:sz w:val="24"/>
          <w:szCs w:val="24"/>
        </w:rPr>
        <w:t xml:space="preserve">ראשונים</w:t>
      </w:r>
      <w:r>
        <w:rPr>
          <w:rtl w:val="1"/>
          <w:sz w:val="24"/>
          <w:szCs w:val="24"/>
        </w:rPr>
        <w:t xml:space="preserve"> שלא חילקו בין הערמת ריבית לריבית דרבנן, ומסתמא יסבירו פה שהוזלה היא כן דוקא למלווה. ועיין בחידושי </w:t>
      </w:r>
      <w:r>
        <w:rPr>
          <w:rtl w:val="1"/>
          <w:b/>
          <w:bCs/>
          <w:sz w:val="24"/>
          <w:szCs w:val="24"/>
        </w:rPr>
        <w:t xml:space="preserve">הרמב"ן</w:t>
      </w:r>
      <w:r>
        <w:rPr>
          <w:rtl w:val="1"/>
          <w:sz w:val="24"/>
          <w:szCs w:val="24"/>
        </w:rPr>
        <w:t xml:space="preserve"> דיבור המתחיל "או דתני רב חייא".</w:t>
      </w:r>
    </w:p>
  </w:body>
</w:document>
</file>