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166"/>
      </w:tblGrid>
      <w:tr>
        <w:trPr>
          <w:tblHeader w:val="true"/>
        </w:trPr>
        <w:tc>
          <w:tcPr>
            <w:tcW w:type="dxa" w:w="10166"/>
            <w:shd w:fill="16324F"/>
            <w:tcMar>
              <w:top w:w="420" w:type="dxa"/>
              <w:start w:w="420" w:type="dxa"/>
              <w:bottom w:w="420" w:type="dxa"/>
              <w:end w:w="420" w:type="dxa"/>
            </w:tcMar>
            <w:tcBorders>
              <w:top w:val="single" w:sz="0" w:color="16324F"/>
              <w:left w:val="single" w:sz="0" w:color="16324F"/>
              <w:bottom w:val="single" w:sz="0" w:color="16324F"/>
              <w:right w:val="single" w:sz="0" w:color="16324F"/>
            </w:tcBorders>
          </w:tcPr>
          <w:p>
            <w:pPr>
              <w:jc w:val="center"/>
              <w:bidi w:val="0"/>
            </w:pPr>
            <w:r>
              <w:rPr>
                <w:rFonts w:ascii="Noto Sans Hebrew" w:hAnsi="Noto Sans Hebrew"/>
                <w:b/>
                <w:color w:val="FFFFFF"/>
                <w:sz w:val="88"/>
                <w:rtl w:val="0"/>
              </w:rPr>
              <w:t>M2S</w:t>
            </w:r>
          </w:p>
          <w:p>
            <w:pPr>
              <w:jc w:val="center"/>
              <w:bidi w:val="1"/>
            </w:pPr>
            <w:r>
              <w:rPr>
                <w:rFonts w:ascii="Noto Sans Hebrew" w:hAnsi="Noto Sans Hebrew"/>
                <w:b/>
                <w:color w:val="D7E9FF"/>
                <w:sz w:val="44"/>
                <w:rtl w:val="1"/>
              </w:rPr>
              <w:t>Master Implementation &amp; Development Guide</w:t>
            </w:r>
          </w:p>
          <w:p>
            <w:pPr>
              <w:jc w:val="center"/>
              <w:bidi w:val="1"/>
            </w:pPr>
            <w:r>
              <w:rPr>
                <w:rFonts w:ascii="Noto Sans Hebrew" w:hAnsi="Noto Sans Hebrew"/>
                <w:color w:val="FFFFFF"/>
                <w:sz w:val="30"/>
                <w:rtl w:val="1"/>
              </w:rPr>
              <w:t>Music-to-Style Engine • Korg Pa600</w:t>
            </w:r>
          </w:p>
          <w:p>
            <w:pPr>
              <w:jc w:val="center"/>
              <w:bidi w:val="1"/>
            </w:pPr>
            <w:r>
              <w:rPr>
                <w:rFonts w:ascii="Noto Sans Hebrew" w:hAnsi="Noto Sans Hebrew"/>
                <w:color w:val="C7D7E7"/>
                <w:sz w:val="21"/>
                <w:rtl w:val="1"/>
              </w:rPr>
              <w:t>גרסה 3.0  |  מהדורת 10 סבבי ביקורת  |  25.09.2026</w:t>
            </w:r>
          </w:p>
          <w:p>
            <w:pPr>
              <w:jc w:val="center"/>
              <w:bidi w:val="1"/>
            </w:pPr>
            <w:r>
              <w:rPr>
                <w:rFonts w:ascii="Noto Sans Hebrew" w:hAnsi="Noto Sans Hebrew"/>
                <w:i/>
                <w:color w:val="BFE6E0"/>
                <w:sz w:val="22"/>
                <w:rtl w:val="1"/>
              </w:rPr>
              <w:t>מוצר AI ליצירת מקצבים מקצועיים — עם Compiler דטרמיניסטי שמייצר Native STY</w:t>
            </w:r>
          </w:p>
        </w:tc>
      </w:tr>
    </w:tbl>
    <w:p/>
    <w:tbl>
      <w:tblPr>
        <w:tblW w:type="auto" w:w="0"/>
        <w:jc w:val="center"/>
        <w:tblLook w:firstColumn="1" w:firstRow="1" w:lastColumn="0" w:lastRow="0" w:noHBand="0" w:noVBand="1" w:val="04A0"/>
      </w:tblPr>
      <w:tblGrid>
        <w:gridCol w:w="2033"/>
        <w:gridCol w:w="2033"/>
        <w:gridCol w:w="2033"/>
        <w:gridCol w:w="2033"/>
        <w:gridCol w:w="2033"/>
      </w:tblGrid>
      <w:tr>
        <w:trPr>
          <w:tblHeader w:val="true"/>
        </w:trPr>
        <w:tc>
          <w:tcPr>
            <w:tcW w:type="dxa" w:w="2033"/>
            <w:shd w:fill="0D9488"/>
            <w:tcMar>
              <w:top w:w="100" w:type="dxa"/>
              <w:start w:w="120" w:type="dxa"/>
              <w:bottom w:w="100" w:type="dxa"/>
              <w:end w:w="120" w:type="dxa"/>
            </w:tcMar>
            <w:tcBorders>
              <w:top w:val="single" w:sz="0" w:color="FFFFFF"/>
              <w:left w:val="single" w:sz="0" w:color="FFFFFF"/>
              <w:bottom w:val="single" w:sz="0" w:color="FFFFFF"/>
              <w:right w:val="single" w:sz="0" w:color="FFFFFF"/>
            </w:tcBorders>
          </w:tcPr>
          <w:p>
            <w:pPr>
              <w:jc w:val="center"/>
              <w:bidi w:val="0"/>
            </w:pPr>
            <w:r>
              <w:rPr>
                <w:rFonts w:ascii="Noto Sans Hebrew" w:hAnsi="Noto Sans Hebrew"/>
                <w:b/>
                <w:color w:val="FFFFFF"/>
                <w:sz w:val="18"/>
                <w:rtl w:val="0"/>
              </w:rPr>
              <w:t>A</w:t>
              <w:br/>
              <w:t>SET Intelligence</w:t>
            </w:r>
          </w:p>
        </w:tc>
        <w:tc>
          <w:tcPr>
            <w:tcW w:type="dxa" w:w="2033"/>
            <w:shd w:fill="2E6FBB"/>
            <w:tcMar>
              <w:top w:w="100" w:type="dxa"/>
              <w:start w:w="120" w:type="dxa"/>
              <w:bottom w:w="100" w:type="dxa"/>
              <w:end w:w="120" w:type="dxa"/>
            </w:tcMar>
            <w:tcBorders>
              <w:top w:val="single" w:sz="0" w:color="FFFFFF"/>
              <w:left w:val="single" w:sz="0" w:color="FFFFFF"/>
              <w:bottom w:val="single" w:sz="0" w:color="FFFFFF"/>
              <w:right w:val="single" w:sz="0" w:color="FFFFFF"/>
            </w:tcBorders>
          </w:tcPr>
          <w:p>
            <w:pPr>
              <w:jc w:val="center"/>
              <w:bidi w:val="0"/>
            </w:pPr>
            <w:r>
              <w:rPr>
                <w:rFonts w:ascii="Noto Sans Hebrew" w:hAnsi="Noto Sans Hebrew"/>
                <w:b/>
                <w:color w:val="FFFFFF"/>
                <w:sz w:val="18"/>
                <w:rtl w:val="0"/>
              </w:rPr>
              <w:t>B</w:t>
              <w:br/>
              <w:t>Separation</w:t>
            </w:r>
          </w:p>
        </w:tc>
        <w:tc>
          <w:tcPr>
            <w:tcW w:type="dxa" w:w="2033"/>
            <w:shd w:fill="5776B3"/>
            <w:tcMar>
              <w:top w:w="100" w:type="dxa"/>
              <w:start w:w="120" w:type="dxa"/>
              <w:bottom w:w="100" w:type="dxa"/>
              <w:end w:w="120" w:type="dxa"/>
            </w:tcMar>
            <w:tcBorders>
              <w:top w:val="single" w:sz="0" w:color="FFFFFF"/>
              <w:left w:val="single" w:sz="0" w:color="FFFFFF"/>
              <w:bottom w:val="single" w:sz="0" w:color="FFFFFF"/>
              <w:right w:val="single" w:sz="0" w:color="FFFFFF"/>
            </w:tcBorders>
          </w:tcPr>
          <w:p>
            <w:pPr>
              <w:jc w:val="center"/>
              <w:bidi w:val="0"/>
            </w:pPr>
            <w:r>
              <w:rPr>
                <w:rFonts w:ascii="Noto Sans Hebrew" w:hAnsi="Noto Sans Hebrew"/>
                <w:b/>
                <w:color w:val="FFFFFF"/>
                <w:sz w:val="18"/>
                <w:rtl w:val="0"/>
              </w:rPr>
              <w:t>C</w:t>
              <w:br/>
              <w:t>Drum ADT</w:t>
            </w:r>
          </w:p>
        </w:tc>
        <w:tc>
          <w:tcPr>
            <w:tcW w:type="dxa" w:w="2033"/>
            <w:shd w:fill="C98917"/>
            <w:tcMar>
              <w:top w:w="100" w:type="dxa"/>
              <w:start w:w="120" w:type="dxa"/>
              <w:bottom w:w="100" w:type="dxa"/>
              <w:end w:w="120" w:type="dxa"/>
            </w:tcMar>
            <w:tcBorders>
              <w:top w:val="single" w:sz="0" w:color="FFFFFF"/>
              <w:left w:val="single" w:sz="0" w:color="FFFFFF"/>
              <w:bottom w:val="single" w:sz="0" w:color="FFFFFF"/>
              <w:right w:val="single" w:sz="0" w:color="FFFFFF"/>
            </w:tcBorders>
          </w:tcPr>
          <w:p>
            <w:pPr>
              <w:jc w:val="center"/>
              <w:bidi w:val="0"/>
            </w:pPr>
            <w:r>
              <w:rPr>
                <w:rFonts w:ascii="Noto Sans Hebrew" w:hAnsi="Noto Sans Hebrew"/>
                <w:b/>
                <w:color w:val="FFFFFF"/>
                <w:sz w:val="18"/>
                <w:rtl w:val="0"/>
              </w:rPr>
              <w:t>D</w:t>
              <w:br/>
              <w:t>Pattern + Mapping</w:t>
            </w:r>
          </w:p>
        </w:tc>
        <w:tc>
          <w:tcPr>
            <w:tcW w:type="dxa" w:w="2033"/>
            <w:shd w:fill="16324F"/>
            <w:tcMar>
              <w:top w:w="100" w:type="dxa"/>
              <w:start w:w="120" w:type="dxa"/>
              <w:bottom w:w="100" w:type="dxa"/>
              <w:end w:w="120" w:type="dxa"/>
            </w:tcMar>
            <w:tcBorders>
              <w:top w:val="single" w:sz="0" w:color="FFFFFF"/>
              <w:left w:val="single" w:sz="0" w:color="FFFFFF"/>
              <w:bottom w:val="single" w:sz="0" w:color="FFFFFF"/>
              <w:right w:val="single" w:sz="0" w:color="FFFFFF"/>
            </w:tcBorders>
          </w:tcPr>
          <w:p>
            <w:pPr>
              <w:jc w:val="center"/>
              <w:bidi w:val="0"/>
            </w:pPr>
            <w:r>
              <w:rPr>
                <w:rFonts w:ascii="Noto Sans Hebrew" w:hAnsi="Noto Sans Hebrew"/>
                <w:b/>
                <w:color w:val="FFFFFF"/>
                <w:sz w:val="18"/>
                <w:rtl w:val="0"/>
              </w:rPr>
              <w:t>E</w:t>
              <w:br/>
              <w:t>Style Compiler + UI</w:t>
            </w:r>
          </w:p>
        </w:tc>
      </w:tr>
    </w:tbl>
    <w:tbl>
      <w:tblPr>
        <w:tblW w:type="auto" w:w="0"/>
        <w:jc w:val="center"/>
        <w:tblLook w:firstColumn="1" w:firstRow="1" w:lastColumn="0" w:lastRow="0" w:noHBand="0" w:noVBand="1" w:val="04A0"/>
      </w:tblPr>
      <w:tblGrid>
        <w:gridCol w:w="10166"/>
      </w:tblGrid>
      <w:tr>
        <w:trPr>
          <w:tblHeader w:val="true"/>
        </w:trPr>
        <w:tc>
          <w:tcPr>
            <w:tcW w:type="dxa" w:w="10166"/>
            <w:shd w:fill="E9F7F5"/>
            <w:tcBorders>
              <w:top w:val="single" w:sz="4" w:color="D9E0E6"/>
              <w:left w:val="single" w:sz="18" w:color="0D9488"/>
              <w:bottom w:val="single" w:sz="4" w:color="D9E0E6"/>
              <w:right w:val="single" w:sz="4" w:color="D9E0E6"/>
            </w:tcBorders>
            <w:tcMar>
              <w:top w:w="140" w:type="dxa"/>
              <w:start w:w="180" w:type="dxa"/>
              <w:bottom w:w="140" w:type="dxa"/>
              <w:end w:w="180" w:type="dxa"/>
            </w:tcMar>
          </w:tcPr>
          <w:p>
            <w:pPr>
              <w:jc w:val="right"/>
              <w:bidi w:val="1"/>
            </w:pPr>
            <w:r>
              <w:rPr>
                <w:b/>
                <w:color w:val="0D9488"/>
                <w:rtl w:val="1"/>
              </w:rPr>
              <w:t>הצהרת דיוק</w:t>
            </w:r>
          </w:p>
          <w:p>
            <w:pPr>
              <w:jc w:val="right"/>
              <w:bidi w:val="1"/>
            </w:pPr>
            <w:r>
              <w:rPr>
                <w:rtl w:val="1"/>
              </w:rPr>
              <w:t>המפרט יכול להיות שלם מבחינת דרישות, ארכיטקטורה, בדיקות ותפעול; הוא אינו טוען שה־Binary Format הלא מתועד של Korg הוכח מראש. כל שדה שלא אומת נשאר DOCUMENTED או EXPERIMENTAL עד שיש Evidence אמפירי ו־Hardware QA.</w:t>
            </w:r>
          </w:p>
        </w:tc>
      </w:tr>
    </w:tbl>
    <w:p/>
    <w:p>
      <w:r>
        <w:br w:type="page"/>
      </w:r>
    </w:p>
    <w:p>
      <w:pPr>
        <w:pStyle w:val="Heading1"/>
        <w:jc w:val="right"/>
        <w:bidi w:val="1"/>
        <w:keepNext/>
      </w:pPr>
      <w:r>
        <w:rPr>
          <w:rtl w:val="1"/>
        </w:rPr>
        <w:t>מטרת החוברת</w:t>
      </w:r>
    </w:p>
    <w:p>
      <w:pPr>
        <w:pStyle w:val="BodyText"/>
        <w:jc w:val="right"/>
        <w:bidi w:val="1"/>
      </w:pPr>
      <w:r>
        <w:rPr>
          <w:rtl w:val="1"/>
        </w:rPr>
        <w:t>זהו מסמך ה־Master של M2S: מפרט מוצר, Developer Handoff, Architecture Reference, QA Playbook ותוכנית עבודה. הוא נבנה מחדש על בסיס החוברת שהועלתה ועל בסיס המפרט הטכני הקודם, אבל מתמקד הפעם באופן מפורש בבקשה הפשוטה של המוצר: חמשת שלבי ה־AI, יצירת מקצב שאינו “נגרר” אחרי ביצוע המקור, מיפוי מלא ל־SET של המשתמש, יצירת Native STY וממשק Web עם Chat.</w:t>
      </w:r>
    </w:p>
    <w:p>
      <w:pPr>
        <w:pStyle w:val="BodyText"/>
        <w:jc w:val="right"/>
        <w:bidi w:val="1"/>
      </w:pPr>
      <w:r>
        <w:rPr>
          <w:rtl w:val="1"/>
        </w:rPr>
        <w:t>החוברת המקורית כבר הגדירה את M2S כ־Master Specification + Developer Handoff + QA Playbook, ואת העיקרון שה־Pa600 נדרש ל־Hardware QA בלבד. גרסה זו שומרת על הבסיס הזה ומיישמת עליו שכבת Product Requirements מלאה.</w:t>
      </w:r>
    </w:p>
    <w:p>
      <w:pPr>
        <w:pStyle w:val="SourceNote"/>
        <w:jc w:val="right"/>
        <w:bidi w:val="1"/>
      </w:pPr>
      <w:r>
        <w:rPr>
          <w:i/>
          <w:color w:val="6B7280"/>
          <w:rtl w:val="1"/>
        </w:rPr>
        <w:t>מבוסס על החוברת שסיפקת: M2S – Master Implementation &amp; Development Guide, בפרט מטרת המסמך, כללי העבודה וה־QA.</w:t>
      </w:r>
    </w:p>
    <w:tbl>
      <w:tblPr>
        <w:tblW w:type="auto" w:w="0"/>
        <w:jc w:val="center"/>
        <w:tblLook w:firstColumn="1" w:firstRow="1" w:lastColumn="0" w:lastRow="0" w:noHBand="0" w:noVBand="1" w:val="04A0"/>
      </w:tblPr>
      <w:tblGrid>
        <w:gridCol w:w="10166"/>
      </w:tblGrid>
      <w:tr>
        <w:trPr>
          <w:tblHeader w:val="true"/>
        </w:trPr>
        <w:tc>
          <w:tcPr>
            <w:tcW w:type="dxa" w:w="10166"/>
            <w:shd w:fill="EAF3FB"/>
            <w:tcBorders>
              <w:top w:val="single" w:sz="4" w:color="D9E0E6"/>
              <w:left w:val="single" w:sz="18" w:color="2E6FBB"/>
              <w:bottom w:val="single" w:sz="4" w:color="D9E0E6"/>
              <w:right w:val="single" w:sz="4" w:color="D9E0E6"/>
            </w:tcBorders>
            <w:tcMar>
              <w:top w:w="140" w:type="dxa"/>
              <w:start w:w="180" w:type="dxa"/>
              <w:bottom w:w="140" w:type="dxa"/>
              <w:end w:w="180" w:type="dxa"/>
            </w:tcMar>
          </w:tcPr>
          <w:p>
            <w:pPr>
              <w:jc w:val="right"/>
              <w:bidi w:val="1"/>
            </w:pPr>
            <w:r>
              <w:rPr>
                <w:b/>
                <w:color w:val="2E6FBB"/>
                <w:rtl w:val="1"/>
              </w:rPr>
              <w:t>מבחן ההצלחה העליון</w:t>
            </w:r>
          </w:p>
          <w:p>
            <w:pPr>
              <w:jc w:val="right"/>
              <w:bidi w:val="1"/>
            </w:pPr>
            <w:r>
              <w:rPr>
                <w:rtl w:val="1"/>
              </w:rPr>
              <w:t>משתמש מעלה Song או MIDI ו־Pa600 SET; המערכת מנתחת, מבינה את הזהות הקצבית, ממפה ל־Drum/Percussion resources של המשתמש, בונה Style לפי כללי Pa600, מריצה Validation ומחזירה Native STY. Pa600 אינו נדרש בזמן ה־Production Run.</w:t>
            </w:r>
          </w:p>
        </w:tc>
      </w:tr>
    </w:tbl>
    <w:p/>
    <w:p>
      <w:pPr>
        <w:pStyle w:val="Heading1"/>
        <w:jc w:val="right"/>
        <w:bidi w:val="1"/>
        <w:keepNext/>
      </w:pPr>
      <w:r>
        <w:rPr>
          <w:rtl w:val="1"/>
        </w:rPr>
        <w:t>איך לקרוא את המסמך</w:t>
      </w:r>
    </w:p>
    <w:p>
      <w:pPr>
        <w:pStyle w:val="NumberedList"/>
        <w:jc w:val="right"/>
        <w:bidi w:val="1"/>
      </w:pPr>
      <w:r>
        <w:rPr>
          <w:rtl w:val="1"/>
        </w:rPr>
        <w:t>התחל ב־Product Contract ובמטריצת ההתאמה לחמשת השלבים.</w:t>
      </w:r>
    </w:p>
    <w:p>
      <w:pPr>
        <w:pStyle w:val="NumberedList"/>
        <w:jc w:val="right"/>
        <w:bidi w:val="1"/>
      </w:pPr>
      <w:r>
        <w:rPr>
          <w:rtl w:val="1"/>
        </w:rPr>
        <w:t>קרא את Korg Compatibility לפני שנוגעים ב־AI.</w:t>
      </w:r>
    </w:p>
    <w:p>
      <w:pPr>
        <w:pStyle w:val="NumberedList"/>
        <w:jc w:val="right"/>
        <w:bidi w:val="1"/>
      </w:pPr>
      <w:r>
        <w:rPr>
          <w:rtl w:val="1"/>
        </w:rPr>
        <w:t>יישם Stage A–E כ־pipelines עצמאיים עם חוזי קלט/פלט.</w:t>
      </w:r>
    </w:p>
    <w:p>
      <w:pPr>
        <w:pStyle w:val="NumberedList"/>
        <w:jc w:val="right"/>
        <w:bidi w:val="1"/>
      </w:pPr>
      <w:r>
        <w:rPr>
          <w:rtl w:val="1"/>
        </w:rPr>
        <w:t>עבור כל שלב הרץ Unit/Integration/Governance tests לפני Gate.</w:t>
      </w:r>
    </w:p>
    <w:p>
      <w:pPr>
        <w:pStyle w:val="NumberedList"/>
        <w:jc w:val="right"/>
        <w:bidi w:val="1"/>
      </w:pPr>
      <w:r>
        <w:rPr>
          <w:rtl w:val="1"/>
        </w:rPr>
        <w:t>אל תחליף Evidence בהשערה; כל Binary field לא מוכח נשאר Preserve/Experimental.</w:t>
      </w:r>
    </w:p>
    <w:p>
      <w:pPr>
        <w:pStyle w:val="Heading1"/>
        <w:jc w:val="right"/>
        <w:bidi w:val="1"/>
        <w:keepNext/>
      </w:pPr>
      <w:r>
        <w:rPr>
          <w:rtl w:val="1"/>
        </w:rPr>
        <w:t>עשרת סבבי הביקורת שהוחלו על המפרט</w:t>
      </w:r>
    </w:p>
    <w:tbl>
      <w:tblPr>
        <w:tblW w:type="auto" w:w="0"/>
        <w:jc w:val="center"/>
        <w:tblLook w:firstColumn="1" w:firstRow="1" w:lastColumn="0" w:lastRow="0" w:noHBand="0" w:noVBand="1" w:val="04A0"/>
      </w:tblPr>
      <w:tblGrid>
        <w:gridCol w:w="3389"/>
        <w:gridCol w:w="3389"/>
        <w:gridCol w:w="3389"/>
      </w:tblGrid>
      <w:tr>
        <w:trPr>
          <w:tblHeader w:val="true"/>
        </w:trPr>
        <w:tc>
          <w:tcPr>
            <w:tcW w:type="dxa" w:w="93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סבב</w:t>
            </w:r>
          </w:p>
        </w:tc>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מה נבדק</w:t>
            </w:r>
          </w:p>
        </w:tc>
        <w:tc>
          <w:tcPr>
            <w:tcW w:type="dxa" w:w="633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תוצאה נדרשת</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01</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Requirements completeness</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כל רכיב מבקשת המשתמש מקבל בית ברור במערכת.</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02</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Korg correctness</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אין ערבוב בין Korg, MIDI גנרי ו־Yamaha SFF/CASM.</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03</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Internal model</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אין coupling בין Raw Bytes למוזיקה/AI.</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04</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Stage A</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מיפוי Key→Resource→Semantic Role מבוסס על מידע Korg + Audio analysis.</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05</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Stage B/C</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Separation ו־ADT הם adapters עם quality gates ו־fallbacks.</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06</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Stage D</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Pattern Identity מופרד מ־microtiming ומ־Groove.</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07</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Stage E</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MIDI ≠ STY; יש Style Compiler דטרמיניסטי.</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08</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Safety</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 read-only, transactions, collision plan, rollback.</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09</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Production</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Jobs, cache, provenance, performance, monitoring, rights.</w:t>
            </w:r>
          </w:p>
        </w:tc>
      </w:tr>
      <w:tr>
        <w:tc>
          <w:tcPr>
            <w:tcW w:type="dxa" w:w="9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10</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Documentation/QA</w:t>
            </w:r>
          </w:p>
        </w:tc>
        <w:tc>
          <w:tcPr>
            <w:tcW w:type="dxa" w:w="633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Acceptance matrix, release gates, hardware evidence, limits.</w:t>
            </w:r>
          </w:p>
        </w:tc>
      </w:tr>
    </w:tbl>
    <w:p/>
    <w:tbl>
      <w:tblPr>
        <w:tblW w:type="auto" w:w="0"/>
        <w:jc w:val="center"/>
        <w:tblLook w:firstColumn="1" w:firstRow="1" w:lastColumn="0" w:lastRow="0" w:noHBand="0" w:noVBand="1" w:val="04A0"/>
      </w:tblPr>
      <w:tblGrid>
        <w:gridCol w:w="10166"/>
      </w:tblGrid>
      <w:tr>
        <w:trPr>
          <w:tblHeader w:val="true"/>
        </w:trPr>
        <w:tc>
          <w:tcPr>
            <w:tcW w:type="dxa" w:w="10166"/>
            <w:shd w:fill="FFF6DF"/>
            <w:tcBorders>
              <w:top w:val="single" w:sz="4" w:color="D9E0E6"/>
              <w:left w:val="single" w:sz="18" w:color="C98917"/>
              <w:bottom w:val="single" w:sz="4" w:color="D9E0E6"/>
              <w:right w:val="single" w:sz="4" w:color="D9E0E6"/>
            </w:tcBorders>
            <w:tcMar>
              <w:top w:w="140" w:type="dxa"/>
              <w:start w:w="180" w:type="dxa"/>
              <w:bottom w:w="140" w:type="dxa"/>
              <w:end w:w="180" w:type="dxa"/>
            </w:tcMar>
          </w:tcPr>
          <w:p>
            <w:pPr>
              <w:jc w:val="right"/>
              <w:bidi w:val="1"/>
            </w:pPr>
            <w:r>
              <w:rPr>
                <w:b/>
                <w:color w:val="C98917"/>
                <w:rtl w:val="1"/>
              </w:rPr>
              <w:t>מסקנה מהביקורת</w:t>
            </w:r>
          </w:p>
          <w:p>
            <w:pPr>
              <w:jc w:val="right"/>
              <w:bidi w:val="1"/>
            </w:pPr>
            <w:r>
              <w:rPr>
                <w:rtl w:val="1"/>
              </w:rPr>
              <w:t>הבקשה שלך אכן ניתנת למימוש בתוך M2S. שני תיקונים עקרוניים חשובים: (1) Stage A לא ינסה “לנחש את התו” רק מתוך WAV אם ה־SET כבר מכיל מיפוי Key→Sample; הנתון הקיים ב־Korg הוא מקור האמת, וה־Audio classifier מוסיף Semantic Role. (2) Stage B אינו מבטיח stem נפרד לכל כלי; source separation מודרני מחזיר בדרך כלל stems/קבוצות, ולכן חייב להיות fallback ישיר ל־Drum ADT על המיקס.</w:t>
            </w:r>
          </w:p>
        </w:tc>
      </w:tr>
    </w:tbl>
    <w:p/>
    <w:p>
      <w:pPr>
        <w:pStyle w:val="Heading1"/>
        <w:jc w:val="right"/>
        <w:bidi w:val="1"/>
        <w:keepNext/>
        <w:pageBreakBefore/>
      </w:pPr>
      <w:r>
        <w:rPr>
          <w:rtl w:val="1"/>
        </w:rPr>
        <w:t>חלק I — Product Contract</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Subtitle"/>
        <w:jc w:val="right"/>
        <w:bidi w:val="1"/>
      </w:pPr>
      <w:r>
        <w:rPr>
          <w:rtl w:val="1"/>
        </w:rPr>
        <w:t>הגדרה מדויקת של מה המשתמש ביקש ומה התוכנה חייבת לבצע.</w:t>
      </w:r>
    </w:p>
    <w:p>
      <w:pPr>
        <w:pStyle w:val="Heading1"/>
        <w:jc w:val="right"/>
        <w:bidi w:val="1"/>
        <w:keepNext/>
      </w:pPr>
      <w:r>
        <w:rPr>
          <w:rtl w:val="1"/>
        </w:rPr>
        <w:t>1. מטרת המוצר</w:t>
      </w:r>
    </w:p>
    <w:p>
      <w:pPr>
        <w:pStyle w:val="BodyText"/>
        <w:jc w:val="right"/>
        <w:bidi w:val="1"/>
      </w:pPr>
      <w:r>
        <w:rPr>
          <w:rtl w:val="1"/>
        </w:rPr>
        <w:t>M2S הוא מנוע AI-assisted, אך לא “AI demo”. הליבה היא Compiler דטרמיניסטי הממיר תיאור מוזיקלי מנורמל ל־Korg Style. AI משמש לניתוח אודיו, זיהוי תבניות, הערכת מבנה וקבלת החלטות הצעתיות; Binary Writing נעשה רק באמצעות מודלים וחוזים מאומתים.</w:t>
      </w:r>
    </w:p>
    <w:p>
      <w:pPr>
        <w:pStyle w:val="BodyText"/>
        <w:jc w:val="right"/>
        <w:bidi w:val="1"/>
      </w:pPr>
      <w:r>
        <w:rPr>
          <w:rtl w:val="1"/>
        </w:rPr>
        <w:t>המשתמש לא אמור לחשוב על STY, CV, KMP, KSF או MIDI channels. הוא רואה חמשה שלבים פשוטים. המערכת הפנימית רשאית להיות מורכבת בהרבה, אבל כל מורכבות חייבת להסתתר מאחורי חוזי Engine ברורים.</w:t>
      </w:r>
    </w:p>
    <w:p>
      <w:pPr>
        <w:pStyle w:val="Heading1"/>
        <w:jc w:val="right"/>
        <w:bidi w:val="1"/>
        <w:keepNext/>
      </w:pPr>
      <w:r>
        <w:rPr>
          <w:rtl w:val="1"/>
        </w:rPr>
        <w:t>2. חמשת שלבי המוצר — Contract מחייב</w:t>
      </w:r>
    </w:p>
    <w:tbl>
      <w:tblPr>
        <w:tblW w:type="auto" w:w="0"/>
        <w:jc w:val="center"/>
        <w:tblLook w:firstColumn="1" w:firstRow="1" w:lastColumn="0" w:lastRow="0" w:noHBand="0" w:noVBand="1" w:val="04A0"/>
      </w:tblPr>
      <w:tblGrid>
        <w:gridCol w:w="2541"/>
        <w:gridCol w:w="2541"/>
        <w:gridCol w:w="2541"/>
        <w:gridCol w:w="2541"/>
      </w:tblGrid>
      <w:tr>
        <w:trPr>
          <w:tblHeader w:val="true"/>
        </w:trPr>
        <w:tc>
          <w:tcPr>
            <w:tcW w:type="dxa" w:w="72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שלב</w:t>
            </w:r>
          </w:p>
        </w:tc>
        <w:tc>
          <w:tcPr>
            <w:tcW w:type="dxa" w:w="230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קלט</w:t>
            </w:r>
          </w:p>
        </w:tc>
        <w:tc>
          <w:tcPr>
            <w:tcW w:type="dxa" w:w="432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פעולה</w:t>
            </w:r>
          </w:p>
        </w:tc>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פלט</w:t>
            </w:r>
          </w:p>
        </w:tc>
      </w:tr>
      <w:tr>
        <w:tc>
          <w:tcPr>
            <w:tcW w:type="dxa" w:w="7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w:t>
            </w:r>
          </w:p>
        </w:tc>
        <w:tc>
          <w:tcPr>
            <w:tcW w:type="dxa" w:w="230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Pa600 SET / SET ZIP</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פענוח resources, פתרון מיפויים, decoding ל־WAV, classification</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Sample Registry + Key Map + Semantic Map</w:t>
            </w:r>
          </w:p>
        </w:tc>
      </w:tr>
      <w:tr>
        <w:tc>
          <w:tcPr>
            <w:tcW w:type="dxa" w:w="7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w:t>
            </w:r>
          </w:p>
        </w:tc>
        <w:tc>
          <w:tcPr>
            <w:tcW w:type="dxa" w:w="230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Audio / URL מאושר</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Decode → Normalize → Source Separation</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Stem Set + quality metadata</w:t>
            </w:r>
          </w:p>
        </w:tc>
      </w:tr>
      <w:tr>
        <w:tc>
          <w:tcPr>
            <w:tcW w:type="dxa" w:w="7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w:t>
            </w:r>
          </w:p>
        </w:tc>
        <w:tc>
          <w:tcPr>
            <w:tcW w:type="dxa" w:w="230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Drum Stem / fallback mix</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Drum ADT, onset/velocity/class, confidence</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Raw Drum Events + Diagnostic MIDI</w:t>
            </w:r>
          </w:p>
        </w:tc>
      </w:tr>
      <w:tr>
        <w:tc>
          <w:tcPr>
            <w:tcW w:type="dxa" w:w="7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w:t>
            </w:r>
          </w:p>
        </w:tc>
        <w:tc>
          <w:tcPr>
            <w:tcW w:type="dxa" w:w="230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Events + Timing + Stage A map</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Beat/Bar inference, Canonical Pattern, Quantization, Groove separation, Remapping</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Canonical Style-ready Patterns</w:t>
            </w:r>
          </w:p>
        </w:tc>
      </w:tr>
      <w:tr>
        <w:tc>
          <w:tcPr>
            <w:tcW w:type="dxa" w:w="7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w:t>
            </w:r>
          </w:p>
        </w:tc>
        <w:tc>
          <w:tcPr>
            <w:tcW w:type="dxa" w:w="230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Canonical Patterns + Mapping + Pa600 Profile</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Structure assignment, CV assembly, Native STY compile, UI, Chat edits</w:t>
            </w:r>
          </w:p>
        </w:tc>
        <w:tc>
          <w:tcPr>
            <w:tcW w:type="dxa" w:w="288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Native STY + optional SET + report</w:t>
            </w:r>
          </w:p>
        </w:tc>
      </w:tr>
    </w:tbl>
    <w:p/>
    <w:p>
      <w:pPr>
        <w:pStyle w:val="Heading1"/>
        <w:jc w:val="right"/>
        <w:bidi w:val="1"/>
        <w:keepNext/>
      </w:pPr>
      <w:r>
        <w:rPr>
          <w:rtl w:val="1"/>
        </w:rPr>
        <w:t>3. Product Fit Matrix — הבקשה שלך מול המערכת</w:t>
      </w:r>
    </w:p>
    <w:tbl>
      <w:tblPr>
        <w:tblW w:type="auto" w:w="0"/>
        <w:jc w:val="center"/>
        <w:tblLook w:firstColumn="1" w:firstRow="1" w:lastColumn="0" w:lastRow="0" w:noHBand="0" w:noVBand="1" w:val="04A0"/>
      </w:tblPr>
      <w:tblGrid>
        <w:gridCol w:w="3389"/>
        <w:gridCol w:w="3389"/>
        <w:gridCol w:w="3389"/>
      </w:tblGrid>
      <w:tr>
        <w:trPr>
          <w:tblHeader w:val="true"/>
        </w:trPr>
        <w:tc>
          <w:tcPr>
            <w:tcW w:type="dxa" w:w="324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דרישת המשתמש</w:t>
            </w:r>
          </w:p>
        </w:tc>
        <w:tc>
          <w:tcPr>
            <w:tcW w:type="dxa" w:w="432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מנגנון M2S</w:t>
            </w:r>
          </w:p>
        </w:tc>
        <w:tc>
          <w:tcPr>
            <w:tcW w:type="dxa" w:w="266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סטטוס</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AI שמבין את המקצב</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Music Intelligence + AI Orchestrator</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יצירת מקצב תוך שניות/דקות</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Cache + GPU + parallel jobs + progressive analysis</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Performance Target</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עבודה עם SET/KMP ו־Samples</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 Resource Graph + KMP/KSF decoder + DrumKit map</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זיהוי Kick/Snare/HH</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Acoustic classifier + semantic taxonomy</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Separation</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Pluggable Separator Adapter</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Core/Adapter</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Audio→MIDI</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Drum ADT + confidence calibration</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Quantization</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Timing Model + configurable grid</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לא לשנות Pattern לפי microtiming</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Canonical Pattern + Groove separation</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Remapping ל־SET</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Semantic Resolver → Target Note</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Variations/Fills/Intro/Ending</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Structure Engine + Style Compiler</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Native Korg STY</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Pa600 Profile + Native Writer</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 / Hardware-gated</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Web UI</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FastAPI + Worker + Web Client</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Product Layer</w:t>
            </w:r>
          </w:p>
        </w:tc>
      </w:tr>
      <w:tr>
        <w:tc>
          <w:tcPr>
            <w:tcW w:type="dxa" w:w="32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Chat</w:t>
            </w:r>
          </w:p>
        </w:tc>
        <w:tc>
          <w:tcPr>
            <w:tcW w:type="dxa" w:w="43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LLM → validated Action JSON → deterministic engine</w:t>
            </w:r>
          </w:p>
        </w:tc>
        <w:tc>
          <w:tcPr>
            <w:tcW w:type="dxa" w:w="266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Product Layer</w:t>
            </w:r>
          </w:p>
        </w:tc>
      </w:tr>
    </w:tbl>
    <w:p/>
    <w:p>
      <w:pPr>
        <w:pStyle w:val="Heading1"/>
        <w:jc w:val="right"/>
        <w:bidi w:val="1"/>
        <w:keepNext/>
      </w:pPr>
      <w:r>
        <w:rPr>
          <w:rtl w:val="1"/>
        </w:rPr>
        <w:t>4. מה פירוש “100% מתאים ל־SET”</w:t>
      </w:r>
    </w:p>
    <w:tbl>
      <w:tblPr>
        <w:tblW w:type="auto" w:w="0"/>
        <w:jc w:val="center"/>
        <w:tblLook w:firstColumn="1" w:firstRow="1" w:lastColumn="0" w:lastRow="0" w:noHBand="0" w:noVBand="1" w:val="04A0"/>
      </w:tblPr>
      <w:tblGrid>
        <w:gridCol w:w="10166"/>
      </w:tblGrid>
      <w:tr>
        <w:trPr>
          <w:tblHeader w:val="true"/>
        </w:trPr>
        <w:tc>
          <w:tcPr>
            <w:tcW w:type="dxa" w:w="10166"/>
            <w:shd w:fill="E9F7F5"/>
            <w:tcBorders>
              <w:top w:val="single" w:sz="4" w:color="D9E0E6"/>
              <w:left w:val="single" w:sz="18" w:color="0D9488"/>
              <w:bottom w:val="single" w:sz="4" w:color="D9E0E6"/>
              <w:right w:val="single" w:sz="4" w:color="D9E0E6"/>
            </w:tcBorders>
            <w:tcMar>
              <w:top w:w="140" w:type="dxa"/>
              <w:start w:w="180" w:type="dxa"/>
              <w:bottom w:w="140" w:type="dxa"/>
              <w:end w:w="180" w:type="dxa"/>
            </w:tcMar>
          </w:tcPr>
          <w:p>
            <w:pPr>
              <w:jc w:val="right"/>
              <w:bidi w:val="1"/>
            </w:pPr>
            <w:r>
              <w:rPr>
                <w:b/>
                <w:color w:val="0D9488"/>
                <w:rtl w:val="1"/>
              </w:rPr>
              <w:t>הגדרה מדויקת</w:t>
            </w:r>
          </w:p>
          <w:p>
            <w:pPr>
              <w:jc w:val="right"/>
              <w:bidi w:val="1"/>
            </w:pPr>
            <w:r>
              <w:rPr>
                <w:rtl w:val="1"/>
              </w:rPr>
              <w:t>אפשר לדרוש 100% Valid Target Mapping: כל Note שיוצא מ־Stage D חייב להיות Note חוקי לפי Target DrumKit/Mapping שנבחר. אי־אפשר להבטיח 100% Source Recognition Accuracy מראש; זה מדד של המודל וה־corpus. לכן המוצר יפריד בין “valid against user SET” לבין “correctly recognized from audio”.</w:t>
            </w:r>
          </w:p>
        </w:tc>
      </w:tr>
    </w:tbl>
    <w:p/>
    <w:p>
      <w:pPr>
        <w:pStyle w:val="Heading1"/>
        <w:jc w:val="right"/>
        <w:bidi w:val="1"/>
        <w:keepNext/>
      </w:pPr>
      <w:r>
        <w:rPr>
          <w:rtl w:val="1"/>
        </w:rPr>
        <w:t>5. סוגי פלט</w:t>
      </w:r>
    </w:p>
    <w:tbl>
      <w:tblPr>
        <w:tblW w:type="auto" w:w="0"/>
        <w:jc w:val="center"/>
        <w:tblLook w:firstColumn="1" w:firstRow="1" w:lastColumn="0" w:lastRow="0" w:noHBand="0" w:noVBand="1" w:val="04A0"/>
      </w:tblPr>
      <w:tblGrid>
        <w:gridCol w:w="3389"/>
        <w:gridCol w:w="3389"/>
        <w:gridCol w:w="3389"/>
      </w:tblGrid>
      <w:tr>
        <w:trPr>
          <w:tblHeader w:val="true"/>
        </w:trPr>
        <w:tc>
          <w:tcPr>
            <w:tcW w:type="dxa" w:w="172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פלט</w:t>
            </w:r>
          </w:p>
        </w:tc>
        <w:tc>
          <w:tcPr>
            <w:tcW w:type="dxa" w:w="504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משמעות</w:t>
            </w:r>
          </w:p>
        </w:tc>
        <w:tc>
          <w:tcPr>
            <w:tcW w:type="dxa" w:w="345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תלות</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w:t>
            </w:r>
          </w:p>
        </w:tc>
        <w:tc>
          <w:tcPr>
            <w:tcW w:type="dxa" w:w="504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Native Korg Style</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תלוי ב־Target Resources אם ה־Style מפנה ל־User SET resources</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Diagnostic MIDI</w:t>
            </w:r>
          </w:p>
        </w:tc>
        <w:tc>
          <w:tcPr>
            <w:tcW w:type="dxa" w:w="504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תצוגה/QA של ה־Pattern המנורמל</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עצמאי</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Minimal SET</w:t>
            </w:r>
          </w:p>
        </w:tc>
        <w:tc>
          <w:tcPr>
            <w:tcW w:type="dxa" w:w="504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 + dependencies שנדרשות בפועל</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Self-contained לפי graph</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Complete SET</w:t>
            </w:r>
          </w:p>
        </w:tc>
        <w:tc>
          <w:tcPr>
            <w:tcW w:type="dxa" w:w="504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Package מורחב של resources שבחר המשתמש</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לפי policy</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Quality Report</w:t>
            </w:r>
          </w:p>
        </w:tc>
        <w:tc>
          <w:tcPr>
            <w:tcW w:type="dxa" w:w="504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Evidence, warnings, mapping, confidence, hashes</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עצמאי</w:t>
            </w:r>
          </w:p>
        </w:tc>
      </w:tr>
    </w:tbl>
    <w:p/>
    <w:p>
      <w:pPr>
        <w:pStyle w:val="Heading1"/>
        <w:jc w:val="right"/>
        <w:bidi w:val="1"/>
        <w:keepNext/>
        <w:pageBreakBefore/>
      </w:pPr>
      <w:r>
        <w:rPr>
          <w:rtl w:val="1"/>
        </w:rPr>
        <w:t>חלק II — Architecture</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Subtitle"/>
        <w:jc w:val="right"/>
        <w:bidi w:val="1"/>
      </w:pPr>
      <w:r>
        <w:rPr>
          <w:rtl w:val="1"/>
        </w:rPr>
        <w:t>הארכיטקטורה נבנית סביב Data Contracts, not around libraries.</w:t>
      </w:r>
    </w:p>
    <w:p>
      <w:pPr>
        <w:pStyle w:val="Heading1"/>
        <w:jc w:val="right"/>
        <w:bidi w:val="1"/>
        <w:keepNext/>
      </w:pPr>
      <w:r>
        <w:rPr>
          <w:rtl w:val="1"/>
        </w:rPr>
        <w:t>6. ארכיטקטורה עליונה</w:t>
      </w:r>
    </w:p>
    <w:p>
      <w:pPr>
        <w:pStyle w:val="CodeBlock"/>
        <w:jc w:val="left"/>
        <w:bidi w:val="0"/>
      </w:pPr>
      <w:r>
        <w:rPr>
          <w:rFonts w:ascii="DejaVu Sans Mono" w:hAnsi="DejaVu Sans Mono" w:cs="DejaVu Sans Mono"/>
          <w:rtl w:val="0"/>
        </w:rPr>
        <w:t>USER</w:t>
        <w:br/>
        <w:t xml:space="preserve">  │</w:t>
        <w:br/>
        <w:t xml:space="preserve">  ├── Song / MIDI</w:t>
        <w:br/>
        <w:t xml:space="preserve">  └── Pa600 SET</w:t>
        <w:br/>
        <w:t xml:space="preserve">        │</w:t>
        <w:br/>
        <w:t xml:space="preserve">        ▼</w:t>
        <w:br/>
        <w:t>┌───────────────────────────────┐</w:t>
        <w:br/>
        <w:t>│      M2S Orchestrator         │</w:t>
        <w:br/>
        <w:t>│  routing / cache / QA / retry │</w:t>
        <w:br/>
        <w:t>└───────────────┬───────────────┘</w:t>
        <w:br/>
        <w:t xml:space="preserve">                │</w:t>
        <w:br/>
        <w:t xml:space="preserve">      ┌─────────┼─────────┬─────────┐</w:t>
        <w:br/>
        <w:t xml:space="preserve">      ▼         ▼         ▼         ▼</w:t>
        <w:br/>
        <w:t xml:space="preserve">   KORG       AUDIO      MUSIC     AI CTRL</w:t>
        <w:br/>
        <w:t xml:space="preserve">   ENGINE    ENGINE     ENGINE       PLANE</w:t>
        <w:br/>
        <w:t xml:space="preserve">      │         │         │           │</w:t>
        <w:br/>
        <w:t xml:space="preserve">      └─────────┴────┬────┴───────────┘</w:t>
        <w:br/>
        <w:t xml:space="preserve">                     ▼</w:t>
        <w:br/>
        <w:t xml:space="preserve">              STYLE COMPILER</w:t>
        <w:br/>
        <w:t xml:space="preserve">                     │</w:t>
        <w:br/>
        <w:t xml:space="preserve">            ┌────────┴────────┐</w:t>
        <w:br/>
        <w:t xml:space="preserve">            ▼                 ▼</w:t>
        <w:br/>
        <w:t xml:space="preserve">           .STY              .SET</w:t>
      </w:r>
    </w:p>
    <w:p>
      <w:pPr>
        <w:pStyle w:val="BodyText"/>
        <w:jc w:val="right"/>
        <w:bidi w:val="1"/>
      </w:pPr>
      <w:r>
        <w:rPr>
          <w:rtl w:val="1"/>
        </w:rPr>
        <w:t>AI Control Plane אינו Binary Writer. הוא מנהל בחירת backend, confidence, retry, escalation ל־Human Review, אבל כל artifact עובר דרך deterministic compiler ו־validator.</w:t>
      </w:r>
    </w:p>
    <w:p>
      <w:pPr>
        <w:pStyle w:val="Heading1"/>
        <w:jc w:val="right"/>
        <w:bidi w:val="1"/>
        <w:keepNext/>
      </w:pPr>
      <w:r>
        <w:rPr>
          <w:rtl w:val="1"/>
        </w:rPr>
        <w:t>7. עקרונות יסוד</w:t>
      </w:r>
    </w:p>
    <w:p>
      <w:pPr>
        <w:pStyle w:val="BulletList"/>
        <w:jc w:val="right"/>
        <w:bidi w:val="1"/>
      </w:pPr>
      <w:r>
        <w:rPr>
          <w:rtl w:val="1"/>
        </w:rPr>
        <w:t>Evidence over Guessing.</w:t>
      </w:r>
    </w:p>
    <w:p>
      <w:pPr>
        <w:pStyle w:val="BulletList"/>
        <w:jc w:val="right"/>
        <w:bidi w:val="1"/>
      </w:pPr>
      <w:r>
        <w:rPr>
          <w:rtl w:val="1"/>
        </w:rPr>
        <w:t>Model before Raw Bytes.</w:t>
      </w:r>
    </w:p>
    <w:p>
      <w:pPr>
        <w:pStyle w:val="BulletList"/>
        <w:jc w:val="right"/>
        <w:bidi w:val="1"/>
      </w:pPr>
      <w:r>
        <w:rPr>
          <w:rtl w:val="1"/>
        </w:rPr>
        <w:t>Unknown Data נשמר ולא מושמד.</w:t>
      </w:r>
    </w:p>
    <w:p>
      <w:pPr>
        <w:pStyle w:val="BulletList"/>
        <w:jc w:val="right"/>
        <w:bidi w:val="1"/>
      </w:pPr>
      <w:r>
        <w:rPr>
          <w:rtl w:val="1"/>
        </w:rPr>
        <w:t>Source SET הוא Read Only.</w:t>
      </w:r>
    </w:p>
    <w:p>
      <w:pPr>
        <w:pStyle w:val="BulletList"/>
        <w:jc w:val="right"/>
        <w:bidi w:val="1"/>
      </w:pPr>
      <w:r>
        <w:rPr>
          <w:rtl w:val="1"/>
        </w:rPr>
        <w:t>אין overwrite שקט של user resources.</w:t>
      </w:r>
    </w:p>
    <w:p>
      <w:pPr>
        <w:pStyle w:val="BulletList"/>
        <w:jc w:val="right"/>
        <w:bidi w:val="1"/>
      </w:pPr>
      <w:r>
        <w:rPr>
          <w:rtl w:val="1"/>
        </w:rPr>
        <w:t>AI ו־LLM מציעים; Compiler מחליט ומייצר.</w:t>
      </w:r>
    </w:p>
    <w:p>
      <w:pPr>
        <w:pStyle w:val="BulletList"/>
        <w:jc w:val="right"/>
        <w:bidi w:val="1"/>
      </w:pPr>
      <w:r>
        <w:rPr>
          <w:rtl w:val="1"/>
        </w:rPr>
        <w:t>MIDI הוא representation; STY הוא target format.</w:t>
      </w:r>
    </w:p>
    <w:p>
      <w:pPr>
        <w:pStyle w:val="BulletList"/>
        <w:jc w:val="right"/>
        <w:bidi w:val="1"/>
      </w:pPr>
      <w:r>
        <w:rPr>
          <w:rtl w:val="1"/>
        </w:rPr>
        <w:t>Pattern Identity נשמרת בנפרד מ־Groove.</w:t>
      </w:r>
    </w:p>
    <w:p>
      <w:pPr>
        <w:pStyle w:val="BulletList"/>
        <w:jc w:val="right"/>
        <w:bidi w:val="1"/>
      </w:pPr>
      <w:r>
        <w:rPr>
          <w:rtl w:val="1"/>
        </w:rPr>
        <w:t>כל Feature מגיע עם Tests + Evidence + Documentation + Known Limitations.</w:t>
      </w:r>
    </w:p>
    <w:p>
      <w:pPr>
        <w:pStyle w:val="BulletList"/>
        <w:jc w:val="right"/>
        <w:bidi w:val="1"/>
      </w:pPr>
      <w:r>
        <w:rPr>
          <w:rtl w:val="1"/>
        </w:rPr>
        <w:t>Hardware QA אינו חלק מ־Production Runtime.</w:t>
      </w:r>
    </w:p>
    <w:p>
      <w:pPr>
        <w:pStyle w:val="Heading1"/>
        <w:jc w:val="right"/>
        <w:bidi w:val="1"/>
        <w:keepNext/>
      </w:pPr>
      <w:r>
        <w:rPr>
          <w:rtl w:val="1"/>
        </w:rPr>
        <w:t>8. Repository Structure</w:t>
      </w:r>
    </w:p>
    <w:p>
      <w:pPr>
        <w:pStyle w:val="CodeBlock"/>
        <w:jc w:val="left"/>
        <w:bidi w:val="0"/>
      </w:pPr>
      <w:r>
        <w:rPr>
          <w:rFonts w:ascii="DejaVu Sans Mono" w:hAnsi="DejaVu Sans Mono" w:cs="DejaVu Sans Mono"/>
          <w:rtl w:val="0"/>
        </w:rPr>
        <w:t>m2s/</w:t>
        <w:br/>
        <w:t>├── docs/</w:t>
        <w:br/>
        <w:t>│   ├── architecture.md</w:t>
        <w:br/>
        <w:t>│   ├── korg-profile.md</w:t>
        <w:br/>
        <w:t>│   ├── evidence.md</w:t>
        <w:br/>
        <w:t>│   ├── decisions.md</w:t>
        <w:br/>
        <w:t>│   ├── test-protocol.md</w:t>
        <w:br/>
        <w:t>│   └── release.md</w:t>
        <w:br/>
        <w:t>├── src/m2s/</w:t>
        <w:br/>
        <w:t>│   ├── models/</w:t>
        <w:br/>
        <w:t>│   ├── korg/</w:t>
        <w:br/>
        <w:t>│   ├── audio/</w:t>
        <w:br/>
        <w:t>│   ├── midi/</w:t>
        <w:br/>
        <w:t>│   ├── music/</w:t>
        <w:br/>
        <w:t>│   ├── mapping/</w:t>
        <w:br/>
        <w:t>│   ├── compiler/</w:t>
        <w:br/>
        <w:t>│   ├── packaging/</w:t>
        <w:br/>
        <w:t>│   ├── ai/</w:t>
        <w:br/>
        <w:t>│   ├── jobs/</w:t>
        <w:br/>
        <w:t>│   ├── security/</w:t>
        <w:br/>
        <w:t>│   └── provenance/</w:t>
        <w:br/>
        <w:t>├── tests/</w:t>
        <w:br/>
        <w:t>│   ├── unit/</w:t>
        <w:br/>
        <w:t>│   ├── integration/</w:t>
        <w:br/>
        <w:t>│   ├── property/</w:t>
        <w:br/>
        <w:t>│   ├── regression/</w:t>
        <w:br/>
        <w:t>│   └── hardware/</w:t>
        <w:br/>
        <w:t>└── scripts/</w:t>
        <w:br/>
        <w:t xml:space="preserve">    ├── inspect_sty.py</w:t>
        <w:br/>
        <w:t xml:space="preserve">    ├── inspect_set.py</w:t>
        <w:br/>
        <w:t xml:space="preserve">    ├── inspect_smf.py</w:t>
        <w:br/>
        <w:t xml:space="preserve">    ├── diff_sty.py</w:t>
        <w:br/>
        <w:t xml:space="preserve">    └── validate_sty.py</w:t>
      </w:r>
    </w:p>
    <w:p>
      <w:pPr>
        <w:pStyle w:val="Heading1"/>
        <w:jc w:val="right"/>
        <w:bidi w:val="1"/>
        <w:keepNext/>
      </w:pPr>
      <w:r>
        <w:rPr>
          <w:rtl w:val="1"/>
        </w:rPr>
        <w:t>9. Versioning</w:t>
      </w:r>
    </w:p>
    <w:p>
      <w:pPr>
        <w:pStyle w:val="BodyText"/>
        <w:jc w:val="right"/>
        <w:bidi w:val="1"/>
      </w:pPr>
      <w:r>
        <w:rPr>
          <w:rtl w:val="1"/>
        </w:rPr>
        <w:t>לכל Model יש schema_version. לכל Korg target יש profile_version. לכל AI backend יש model/version/hash. Artifact שמיוצר נשמר עם Manifest, כך שאפשר לבצע reproduce או להסביר למה שני runs שונים.</w:t>
      </w:r>
    </w:p>
    <w:p>
      <w:pPr>
        <w:pStyle w:val="Heading1"/>
        <w:jc w:val="right"/>
        <w:bidi w:val="1"/>
        <w:keepNext/>
        <w:pageBreakBefore/>
      </w:pPr>
      <w:r>
        <w:rPr>
          <w:rtl w:val="1"/>
        </w:rPr>
        <w:t>חלק III — Korg / Pa600 Compatibility</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Subtitle"/>
        <w:jc w:val="right"/>
        <w:bidi w:val="1"/>
      </w:pPr>
      <w:r>
        <w:rPr>
          <w:rtl w:val="1"/>
        </w:rPr>
        <w:t>מקור האמת של ה־Compiler.</w:t>
      </w:r>
    </w:p>
    <w:p>
      <w:pPr>
        <w:pStyle w:val="Heading1"/>
        <w:jc w:val="right"/>
        <w:bidi w:val="1"/>
        <w:keepNext/>
      </w:pPr>
      <w:r>
        <w:rPr>
          <w:rtl w:val="1"/>
        </w:rPr>
        <w:t>10. Target Profile</w:t>
      </w:r>
    </w:p>
    <w:tbl>
      <w:tblPr>
        <w:tblW w:type="auto" w:w="0"/>
        <w:jc w:val="center"/>
        <w:tblLook w:firstColumn="1" w:firstRow="1" w:lastColumn="0" w:lastRow="0" w:noHBand="0" w:noVBand="1" w:val="04A0"/>
      </w:tblPr>
      <w:tblGrid>
        <w:gridCol w:w="3389"/>
        <w:gridCol w:w="3389"/>
        <w:gridCol w:w="3389"/>
      </w:tblGrid>
      <w:tr>
        <w:trPr>
          <w:tblHeader w:val="true"/>
        </w:trPr>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מאפיין</w:t>
            </w:r>
          </w:p>
        </w:tc>
        <w:tc>
          <w:tcPr>
            <w:tcW w:type="dxa" w:w="302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Pa600 baseline</w:t>
            </w:r>
          </w:p>
        </w:tc>
        <w:tc>
          <w:tcPr>
            <w:tcW w:type="dxa" w:w="432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מדיניות M2S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דגם</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Pa600 Standard</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Target ראשון; Pa600QT הוא Profile נפרד</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OS</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2.1.1</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Profile identifier; חייב להירשם גם ב־Hardware evidence</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 Tracks</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8</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DRUM, PERC, BASS, ACC1–ACC5</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 Elements</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15</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4 Variations, 3 Intros, 4 Fills, Break, 3 Endings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Variation CVs</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עד 6</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לא להניח 6 לכל Element</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Other Element CVs</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עד 2</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מדיניות מפורשת לכל Element</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User PCM</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96 MB</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Resource capacity profile; לא להניח שכל SET משתמש בזה</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Master FX</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4 Stereo / 125 types</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Advanced/Performance layer</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STS</w:t>
            </w:r>
          </w:p>
        </w:tc>
        <w:tc>
          <w:tcPr>
            <w:tcW w:type="dxa" w:w="30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4</w:t>
            </w:r>
          </w:p>
        </w:tc>
        <w:tc>
          <w:tcPr>
            <w:tcW w:type="dxa" w:w="432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מאוחר יותר; לא blocker ל־Drum MVP</w:t>
            </w:r>
          </w:p>
        </w:tc>
      </w:tr>
    </w:tbl>
    <w:p/>
    <w:p>
      <w:pPr>
        <w:pStyle w:val="SourceNote"/>
        <w:jc w:val="right"/>
        <w:bidi w:val="1"/>
      </w:pPr>
      <w:r>
        <w:rPr>
          <w:i/>
          <w:color w:val="6B7280"/>
          <w:rtl w:val="1"/>
        </w:rPr>
        <w:t>מקורות Korg: Pa600 OS 2.1.1; Pa600 official product/specification pages; Pa600 User Manual v2.1.</w:t>
      </w:r>
    </w:p>
    <w:p>
      <w:pPr>
        <w:pStyle w:val="Heading1"/>
        <w:jc w:val="right"/>
        <w:bidi w:val="1"/>
        <w:keepNext/>
      </w:pPr>
      <w:r>
        <w:rPr>
          <w:rtl w:val="1"/>
        </w:rPr>
        <w:t>11. Style Structure — ההגדרה הנכונה</w:t>
      </w:r>
    </w:p>
    <w:p>
      <w:pPr>
        <w:pStyle w:val="CodeBlock"/>
        <w:jc w:val="left"/>
        <w:bidi w:val="0"/>
      </w:pPr>
      <w:r>
        <w:rPr>
          <w:rFonts w:ascii="DejaVu Sans Mono" w:hAnsi="DejaVu Sans Mono" w:cs="DejaVu Sans Mono"/>
          <w:rtl w:val="0"/>
        </w:rPr>
        <w:t>Style</w:t>
        <w:br/>
        <w:t>├── Variation 1 → CV1..CV6</w:t>
        <w:br/>
        <w:t>├── Variation 2 → CV1..CV6</w:t>
        <w:br/>
        <w:t>├── Variation 3 → CV1..CV6</w:t>
        <w:br/>
        <w:t>├── Variation 4 → CV1..CV6</w:t>
        <w:br/>
        <w:t>├── Intro 1 → CV1..CV2</w:t>
        <w:br/>
        <w:t>├── Intro 2 → CV1..CV2</w:t>
        <w:br/>
        <w:t>├── Intro 3 / Count-In → CV1..CV2</w:t>
        <w:br/>
        <w:t>├── Fill 1..4 → CV1..CV2</w:t>
        <w:br/>
        <w:t>├── Break → CV1..CV2</w:t>
        <w:br/>
        <w:t>└── Ending 1..3 → CV1..CV2</w:t>
      </w:r>
    </w:p>
    <w:p>
      <w:pPr>
        <w:pStyle w:val="BodyText"/>
        <w:jc w:val="right"/>
        <w:bidi w:val="1"/>
      </w:pPr>
      <w:r>
        <w:rPr>
          <w:rtl w:val="1"/>
        </w:rPr>
        <w:t>זה יוצר 46 CV slots פוטנציאליים: ארבעה Elements עם עד 6 CVs ועוד אחד עשר Elements עם עד 2. Count-In אינו מודל Element נוסף; ב־Korg הוא מופיע בהקשר של Intro 3/C.In במבנה ה־Style.</w:t>
      </w:r>
    </w:p>
    <w:p>
      <w:pPr>
        <w:pStyle w:val="SourceNote"/>
        <w:jc w:val="right"/>
        <w:bidi w:val="1"/>
      </w:pPr>
      <w:r>
        <w:rPr>
          <w:i/>
          <w:color w:val="6B7280"/>
          <w:rtl w:val="1"/>
        </w:rPr>
        <w:t>KORG User Manual v2.1 מתאר במפורש 15 Style Elements ואת ההבדל בין CV1–CV6 ב־Variations לבין CV1–CV2 ב־Other Style Elements.</w:t>
      </w:r>
    </w:p>
    <w:p>
      <w:pPr>
        <w:pStyle w:val="Heading1"/>
        <w:jc w:val="right"/>
        <w:bidi w:val="1"/>
        <w:keepNext/>
      </w:pPr>
      <w:r>
        <w:rPr>
          <w:rtl w:val="1"/>
        </w:rPr>
        <w:t>12. Pattern Data מול Style Performance</w:t>
      </w:r>
    </w:p>
    <w:tbl>
      <w:tblPr>
        <w:tblW w:type="auto" w:w="0"/>
        <w:jc w:val="center"/>
        <w:tblLook w:firstColumn="1" w:firstRow="1" w:lastColumn="0" w:lastRow="0" w:noHBand="0" w:noVBand="1" w:val="04A0"/>
      </w:tblPr>
      <w:tblGrid>
        <w:gridCol w:w="3389"/>
        <w:gridCol w:w="3389"/>
        <w:gridCol w:w="3389"/>
      </w:tblGrid>
      <w:tr>
        <w:trPr>
          <w:tblHeader w:val="true"/>
        </w:trPr>
        <w:tc>
          <w:tcPr>
            <w:tcW w:type="dxa" w:w="216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Domain</w:t>
            </w:r>
          </w:p>
        </w:tc>
        <w:tc>
          <w:tcPr>
            <w:tcW w:type="dxa" w:w="518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כולל</w:t>
            </w:r>
          </w:p>
        </w:tc>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אחריות M2S</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PatternData</w:t>
            </w:r>
          </w:p>
        </w:tc>
        <w:tc>
          <w:tcPr>
            <w:tcW w:type="dxa" w:w="51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Track sequences, CVs, Style Element content</w:t>
            </w:r>
          </w:p>
        </w:tc>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Music Engine + Style Compiler</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StylePerformance</w:t>
            </w:r>
          </w:p>
        </w:tc>
        <w:tc>
          <w:tcPr>
            <w:tcW w:type="dxa" w:w="51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Volume/Pan/FX/tempo/track settings וכדומה</w:t>
            </w:r>
          </w:p>
        </w:tc>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Performance compiler</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ResourceRefs</w:t>
            </w:r>
          </w:p>
        </w:tc>
        <w:tc>
          <w:tcPr>
            <w:tcW w:type="dxa" w:w="51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Sound / DrumKit / PCM references</w:t>
            </w:r>
          </w:p>
        </w:tc>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Resource Graph</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UnknownData</w:t>
            </w:r>
          </w:p>
        </w:tc>
        <w:tc>
          <w:tcPr>
            <w:tcW w:type="dxa" w:w="51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Bytes/regions שלא הובנו</w:t>
            </w:r>
          </w:p>
        </w:tc>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Preserve-only עד הוכחה</w:t>
            </w:r>
          </w:p>
        </w:tc>
      </w:tr>
    </w:tbl>
    <w:p/>
    <w:p>
      <w:pPr>
        <w:pStyle w:val="Heading1"/>
        <w:jc w:val="right"/>
        <w:bidi w:val="1"/>
        <w:keepNext/>
      </w:pPr>
      <w:r>
        <w:rPr>
          <w:rtl w:val="1"/>
        </w:rPr>
        <w:t>13. Track Roles ו־NTT</w:t>
      </w:r>
    </w:p>
    <w:p>
      <w:pPr>
        <w:pStyle w:val="BodyText"/>
        <w:jc w:val="right"/>
        <w:bidi w:val="1"/>
      </w:pPr>
      <w:r>
        <w:rPr>
          <w:rtl w:val="1"/>
        </w:rPr>
        <w:t>Pa600 תומך בשמונה Style tracks. DRUM ו־PERC הם non-transposing tracks; BASS ו־ACC tracks עוברים בעתיד ל־Korg-specific chord/transposition logic. לכן MVP של תופים אינו צריך לייצר NTT.</w:t>
      </w:r>
    </w:p>
    <w:tbl>
      <w:tblPr>
        <w:tblW w:type="auto" w:w="0"/>
        <w:jc w:val="center"/>
        <w:tblLook w:firstColumn="1" w:firstRow="1" w:lastColumn="0" w:lastRow="0" w:noHBand="0" w:noVBand="1" w:val="04A0"/>
      </w:tblPr>
      <w:tblGrid>
        <w:gridCol w:w="10166"/>
      </w:tblGrid>
      <w:tr>
        <w:trPr>
          <w:tblHeader w:val="true"/>
        </w:trPr>
        <w:tc>
          <w:tcPr>
            <w:tcW w:type="dxa" w:w="10166"/>
            <w:shd w:fill="FFF6DF"/>
            <w:tcBorders>
              <w:top w:val="single" w:sz="4" w:color="D9E0E6"/>
              <w:left w:val="single" w:sz="18" w:color="C98917"/>
              <w:bottom w:val="single" w:sz="4" w:color="D9E0E6"/>
              <w:right w:val="single" w:sz="4" w:color="D9E0E6"/>
            </w:tcBorders>
            <w:tcMar>
              <w:top w:w="140" w:type="dxa"/>
              <w:start w:w="180" w:type="dxa"/>
              <w:bottom w:w="140" w:type="dxa"/>
              <w:end w:w="180" w:type="dxa"/>
            </w:tcMar>
          </w:tcPr>
          <w:p>
            <w:pPr>
              <w:jc w:val="right"/>
              <w:bidi w:val="1"/>
            </w:pPr>
            <w:r>
              <w:rPr>
                <w:b/>
                <w:color w:val="C98917"/>
                <w:rtl w:val="1"/>
              </w:rPr>
              <w:t>אין CASM</w:t>
            </w:r>
          </w:p>
          <w:p>
            <w:pPr>
              <w:jc w:val="right"/>
              <w:bidi w:val="1"/>
            </w:pPr>
            <w:r>
              <w:rPr>
                <w:rtl w:val="1"/>
              </w:rPr>
              <w:t>CASM/NTR הם מושגים של Yamaha Style File Format ואינם נכנסים ל־Pa600 Internal Model. במקום זאת יוגדר בעתיד Korg Chord/NTT Domain המבוסס על Evidence של Korg.</w:t>
            </w:r>
          </w:p>
        </w:tc>
      </w:tr>
    </w:tbl>
    <w:p/>
    <w:p>
      <w:pPr>
        <w:pStyle w:val="Heading1"/>
        <w:jc w:val="right"/>
        <w:bidi w:val="1"/>
        <w:keepNext/>
      </w:pPr>
      <w:r>
        <w:rPr>
          <w:rtl w:val="1"/>
        </w:rPr>
        <w:t>14. SMF הוא Interoperability Probe — לא תחליף ל־STY</w:t>
      </w:r>
    </w:p>
    <w:p>
      <w:pPr>
        <w:pStyle w:val="BodyText"/>
        <w:jc w:val="right"/>
        <w:bidi w:val="1"/>
      </w:pPr>
      <w:r>
        <w:rPr>
          <w:rtl w:val="1"/>
        </w:rPr>
        <w:t>Pa600 משתמש ב־Standard MIDI File ל־Import/Export של Style data. Korg מתעדת Format 0 ל־Style Import/Export, Markers שמצביעים על Element/CV, ונתונים מסוימים שנקראים מה־header או מה־events.</w:t>
      </w:r>
    </w:p>
    <w:p>
      <w:pPr>
        <w:pStyle w:val="CodeBlock"/>
        <w:jc w:val="left"/>
        <w:bidi w:val="0"/>
      </w:pPr>
      <w:r>
        <w:rPr>
          <w:rFonts w:ascii="DejaVu Sans Mono" w:hAnsi="DejaVu Sans Mono" w:cs="DejaVu Sans Mono"/>
          <w:rtl w:val="0"/>
        </w:rPr>
        <w:t>Diagnostic SMF</w:t>
        <w:br/>
        <w:t xml:space="preserve">   ↓</w:t>
        <w:br/>
        <w:t>Track/Event inspection</w:t>
        <w:br/>
        <w:t xml:space="preserve">   ↓</w:t>
        <w:br/>
        <w:t>Marker inspection</w:t>
        <w:br/>
        <w:t xml:space="preserve">   ↓</w:t>
        <w:br/>
        <w:t>Cross-check against STY</w:t>
        <w:br/>
        <w:t xml:space="preserve">   ↓</w:t>
        <w:br/>
        <w:t>NOT: “SMF = complete STY”</w:t>
      </w:r>
    </w:p>
    <w:p>
      <w:pPr>
        <w:pStyle w:val="SourceNote"/>
        <w:jc w:val="right"/>
        <w:bidi w:val="1"/>
      </w:pPr>
      <w:r>
        <w:rPr>
          <w:i/>
          <w:color w:val="6B7280"/>
          <w:rtl w:val="1"/>
        </w:rPr>
        <w:t>KORG User Manual v2.1: Pa600 handles SMF format 0 for Style import; Style Export uses markers such as i1cv2 / v4cv3 in lowercase.</w:t>
      </w:r>
    </w:p>
    <w:p>
      <w:pPr>
        <w:pStyle w:val="Heading1"/>
        <w:jc w:val="right"/>
        <w:bidi w:val="1"/>
        <w:keepNext/>
      </w:pPr>
      <w:r>
        <w:rPr>
          <w:rtl w:val="1"/>
        </w:rPr>
        <w:t>15. KMP / KSF / SET Resource Graph</w:t>
      </w:r>
    </w:p>
    <w:p>
      <w:pPr>
        <w:pStyle w:val="CodeBlock"/>
        <w:jc w:val="left"/>
        <w:bidi w:val="0"/>
      </w:pPr>
      <w:r>
        <w:rPr>
          <w:rFonts w:ascii="DejaVu Sans Mono" w:hAnsi="DejaVu Sans Mono" w:cs="DejaVu Sans Mono"/>
          <w:rtl w:val="0"/>
        </w:rPr>
        <w:t>SET</w:t>
        <w:br/>
        <w:t>├── STYLE</w:t>
        <w:br/>
        <w:t>│    └── Style Track references</w:t>
        <w:br/>
        <w:t>├── SOUND / DRUM KIT</w:t>
        <w:br/>
        <w:t>│    └── multisample / sample references</w:t>
        <w:br/>
        <w:t>├── PCM</w:t>
        <w:br/>
        <w:t>│    ├── KMP / multisample resources</w:t>
        <w:br/>
        <w:t>│    └── KSF / sample resources</w:t>
        <w:br/>
        <w:t>├── PAD</w:t>
        <w:br/>
        <w:t>├── PERFORM</w:t>
        <w:br/>
        <w:t>├── SONGBOOK</w:t>
        <w:br/>
        <w:t>└── GLOBAL</w:t>
      </w:r>
    </w:p>
    <w:p>
      <w:pPr>
        <w:pStyle w:val="BodyText"/>
        <w:jc w:val="right"/>
        <w:bidi w:val="1"/>
      </w:pPr>
      <w:r>
        <w:rPr>
          <w:rtl w:val="1"/>
        </w:rPr>
        <w:t>Stage A אינה “KMP → WAV” בלבד. היא פותרת Resource Graph: KMP/Multisample metadata → KSF sample resources, ומייצרת normalized WAV רק כאמצעי עבודה לאודיו. בנוסף, עבור DrumKit היא מחפשת את Key mapping ואת שכבות ה־velocity מתוך המשאבים הרלוונטיים כאשר הנתונים זמינים.</w:t>
      </w:r>
    </w:p>
    <w:tbl>
      <w:tblPr>
        <w:tblW w:type="auto" w:w="0"/>
        <w:jc w:val="center"/>
        <w:tblLook w:firstColumn="1" w:firstRow="1" w:lastColumn="0" w:lastRow="0" w:noHBand="0" w:noVBand="1" w:val="04A0"/>
      </w:tblPr>
      <w:tblGrid>
        <w:gridCol w:w="10166"/>
      </w:tblGrid>
      <w:tr>
        <w:trPr>
          <w:tblHeader w:val="true"/>
        </w:trPr>
        <w:tc>
          <w:tcPr>
            <w:tcW w:type="dxa" w:w="10166"/>
            <w:shd w:fill="E9F7F5"/>
            <w:tcBorders>
              <w:top w:val="single" w:sz="4" w:color="D9E0E6"/>
              <w:left w:val="single" w:sz="18" w:color="0D9488"/>
              <w:bottom w:val="single" w:sz="4" w:color="D9E0E6"/>
              <w:right w:val="single" w:sz="4" w:color="D9E0E6"/>
            </w:tcBorders>
            <w:tcMar>
              <w:top w:w="140" w:type="dxa"/>
              <w:start w:w="180" w:type="dxa"/>
              <w:bottom w:w="140" w:type="dxa"/>
              <w:end w:w="180" w:type="dxa"/>
            </w:tcMar>
          </w:tcPr>
          <w:p>
            <w:pPr>
              <w:jc w:val="right"/>
              <w:bidi w:val="1"/>
            </w:pPr>
            <w:r>
              <w:rPr>
                <w:b/>
                <w:color w:val="0D9488"/>
                <w:rtl w:val="1"/>
              </w:rPr>
              <w:t>מקור האמת של ה־Note Map</w:t>
            </w:r>
          </w:p>
          <w:p>
            <w:pPr>
              <w:jc w:val="right"/>
              <w:bidi w:val="1"/>
            </w:pPr>
            <w:r>
              <w:rPr>
                <w:rtl w:val="1"/>
              </w:rPr>
              <w:t>כאשר ה־SET כבר יודע ש־Key מסוים מפעיל Sample מסוים, ה־mapping הזה עדיף על “ניחוש” לפי pitch של ה־WAV. אודיו של kick אינו חייב להציג pitch יציב, ולכן classification ו־mapping הם שני דברים שונים.</w:t>
            </w:r>
          </w:p>
        </w:tc>
      </w:tr>
    </w:tbl>
    <w:p/>
    <w:p>
      <w:pPr>
        <w:pStyle w:val="Heading1"/>
        <w:jc w:val="right"/>
        <w:bidi w:val="1"/>
        <w:keepNext/>
        <w:pageBreakBefore/>
      </w:pPr>
      <w:r>
        <w:rPr>
          <w:rtl w:val="1"/>
        </w:rPr>
        <w:t>חלק IV — P0: Reverse Engineering + Native Format Core</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16. Golden Corpus</w:t>
      </w:r>
    </w:p>
    <w:p>
      <w:pPr>
        <w:pStyle w:val="BodyText"/>
        <w:jc w:val="right"/>
        <w:bidi w:val="1"/>
      </w:pPr>
      <w:r>
        <w:rPr>
          <w:rtl w:val="1"/>
        </w:rPr>
        <w:t>לכל ניסוי נשמרת שרשרת A/B: קובץ מקורי וקובץ זהה לאחר שינוי יחיד. הקבצים מקבלים SHA-256, Device, OS, capture date ו־expected result.</w:t>
      </w:r>
    </w:p>
    <w:tbl>
      <w:tblPr>
        <w:tblW w:type="auto" w:w="0"/>
        <w:jc w:val="center"/>
        <w:tblLook w:firstColumn="1" w:firstRow="1" w:lastColumn="0" w:lastRow="0" w:noHBand="0" w:noVBand="1" w:val="04A0"/>
      </w:tblPr>
      <w:tblGrid>
        <w:gridCol w:w="3389"/>
        <w:gridCol w:w="3389"/>
        <w:gridCol w:w="3389"/>
      </w:tblGrid>
      <w:tr>
        <w:trPr>
          <w:tblHeader w:val="true"/>
        </w:trPr>
        <w:tc>
          <w:tcPr>
            <w:tcW w:type="dxa" w:w="1872"/>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Corpus</w:t>
            </w:r>
          </w:p>
        </w:tc>
        <w:tc>
          <w:tcPr>
            <w:tcW w:type="dxa" w:w="244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יעד</w:t>
            </w:r>
          </w:p>
        </w:tc>
        <w:tc>
          <w:tcPr>
            <w:tcW w:type="dxa" w:w="576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תכולה</w:t>
            </w:r>
          </w:p>
        </w:tc>
      </w:tr>
      <w:tr>
        <w:tc>
          <w:tcPr>
            <w:tcW w:type="dxa" w:w="187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Format</w:t>
            </w:r>
          </w:p>
        </w:tc>
        <w:tc>
          <w:tcPr>
            <w:tcW w:type="dxa" w:w="244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20–50 SET/STY</w:t>
            </w:r>
          </w:p>
        </w:tc>
        <w:tc>
          <w:tcPr>
            <w:tcW w:type="dxa" w:w="57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Styles פשוטים, מורכבים, PCM, Multiple CV</w:t>
            </w:r>
          </w:p>
        </w:tc>
      </w:tr>
      <w:tr>
        <w:tc>
          <w:tcPr>
            <w:tcW w:type="dxa" w:w="187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Audio</w:t>
            </w:r>
          </w:p>
        </w:tc>
        <w:tc>
          <w:tcPr>
            <w:tcW w:type="dxa" w:w="244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20–50 references</w:t>
            </w:r>
          </w:p>
        </w:tc>
        <w:tc>
          <w:tcPr>
            <w:tcW w:type="dxa" w:w="57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Ground truth ל־Kick/Snare/HH/BPM/Bars/Velocity</w:t>
            </w:r>
          </w:p>
        </w:tc>
      </w:tr>
      <w:tr>
        <w:tc>
          <w:tcPr>
            <w:tcW w:type="dxa" w:w="187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Hardware</w:t>
            </w:r>
          </w:p>
        </w:tc>
        <w:tc>
          <w:tcPr>
            <w:tcW w:type="dxa" w:w="244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5+ certified cases</w:t>
            </w:r>
          </w:p>
        </w:tc>
        <w:tc>
          <w:tcPr>
            <w:tcW w:type="dxa" w:w="57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Load, playback, save/reload, custom resources</w:t>
            </w:r>
          </w:p>
        </w:tc>
      </w:tr>
    </w:tbl>
    <w:p/>
    <w:p>
      <w:pPr>
        <w:pStyle w:val="Heading1"/>
        <w:jc w:val="right"/>
        <w:bidi w:val="1"/>
        <w:keepNext/>
      </w:pPr>
      <w:r>
        <w:rPr>
          <w:rtl w:val="1"/>
        </w:rPr>
        <w:t>17. Evidence Registry</w:t>
      </w:r>
    </w:p>
    <w:p>
      <w:pPr>
        <w:pStyle w:val="CodeBlock"/>
        <w:jc w:val="left"/>
        <w:bidi w:val="0"/>
      </w:pPr>
      <w:r>
        <w:rPr>
          <w:rFonts w:ascii="DejaVu Sans Mono" w:hAnsi="DejaVu Sans Mono" w:cs="DejaVu Sans Mono"/>
          <w:rtl w:val="0"/>
        </w:rPr>
        <w:t>field_id</w:t>
        <w:br/>
        <w:t>location</w:t>
        <w:br/>
        <w:t>width</w:t>
        <w:br/>
        <w:t>encoding</w:t>
        <w:br/>
        <w:t>meaning</w:t>
        <w:br/>
        <w:t>evidence_level = VERIFIED | DOCUMENTED | EXPERIMENTAL</w:t>
        <w:br/>
        <w:t>source_evidence</w:t>
        <w:br/>
        <w:t>write_policy = WRITE | PRESERVE | REJECT</w:t>
      </w:r>
    </w:p>
    <w:p>
      <w:pPr>
        <w:pStyle w:val="BodyText"/>
        <w:jc w:val="right"/>
        <w:bidi w:val="1"/>
      </w:pPr>
      <w:r>
        <w:rPr>
          <w:rtl w:val="1"/>
        </w:rPr>
        <w:t>כל שדה שמופיע לראשונה כ־candidate אינו הופך ל־WRITE רק בגלל שהוא “נראה הגיוני”. נדרשת variable isolation או תיעוד ראשוני חד-משמעי.</w:t>
      </w:r>
    </w:p>
    <w:p>
      <w:pPr>
        <w:pStyle w:val="Heading1"/>
        <w:jc w:val="right"/>
        <w:bidi w:val="1"/>
        <w:keepNext/>
      </w:pPr>
      <w:r>
        <w:rPr>
          <w:rtl w:val="1"/>
        </w:rPr>
        <w:t>18. Unknown Data Preservation</w:t>
      </w:r>
    </w:p>
    <w:p>
      <w:pPr>
        <w:pStyle w:val="BodyText"/>
        <w:jc w:val="right"/>
        <w:bidi w:val="1"/>
      </w:pPr>
      <w:r>
        <w:rPr>
          <w:rtl w:val="1"/>
        </w:rPr>
        <w:t>ה־Parser שומר Unknown regions עם offset/raw_bytes/context. ה־Writer רשאי להעתיק אותם ללא שינוי. רק לאחר שהמבנה הוכח ניתן להפוך PRESERVE ל־WRITE.</w:t>
      </w:r>
    </w:p>
    <w:tbl>
      <w:tblPr>
        <w:tblW w:type="auto" w:w="0"/>
        <w:jc w:val="center"/>
        <w:tblLook w:firstColumn="1" w:firstRow="1" w:lastColumn="0" w:lastRow="0" w:noHBand="0" w:noVBand="1" w:val="04A0"/>
      </w:tblPr>
      <w:tblGrid>
        <w:gridCol w:w="10166"/>
      </w:tblGrid>
      <w:tr>
        <w:trPr>
          <w:tblHeader w:val="true"/>
        </w:trPr>
        <w:tc>
          <w:tcPr>
            <w:tcW w:type="dxa" w:w="10166"/>
            <w:shd w:fill="FFF0EE"/>
            <w:tcBorders>
              <w:top w:val="single" w:sz="4" w:color="D9E0E6"/>
              <w:left w:val="single" w:sz="18" w:color="B42318"/>
              <w:bottom w:val="single" w:sz="4" w:color="D9E0E6"/>
              <w:right w:val="single" w:sz="4" w:color="D9E0E6"/>
            </w:tcBorders>
            <w:tcMar>
              <w:top w:w="140" w:type="dxa"/>
              <w:start w:w="180" w:type="dxa"/>
              <w:bottom w:w="140" w:type="dxa"/>
              <w:end w:w="180" w:type="dxa"/>
            </w:tcMar>
          </w:tcPr>
          <w:p>
            <w:pPr>
              <w:jc w:val="right"/>
              <w:bidi w:val="1"/>
            </w:pPr>
            <w:r>
              <w:rPr>
                <w:b/>
                <w:color w:val="B42318"/>
                <w:rtl w:val="1"/>
              </w:rPr>
              <w:t>כלל ברזל</w:t>
            </w:r>
          </w:p>
          <w:p>
            <w:pPr>
              <w:jc w:val="right"/>
              <w:bidi w:val="1"/>
            </w:pPr>
            <w:r>
              <w:rPr>
                <w:rtl w:val="1"/>
              </w:rPr>
              <w:t>Known → interpret. Unknown → preserve. Unknown required for a target feature → BLOCKING, לא Guess.</w:t>
            </w:r>
          </w:p>
        </w:tc>
      </w:tr>
    </w:tbl>
    <w:p/>
    <w:p>
      <w:pPr>
        <w:pStyle w:val="Heading1"/>
        <w:jc w:val="right"/>
        <w:bidi w:val="1"/>
        <w:keepNext/>
      </w:pPr>
      <w:r>
        <w:rPr>
          <w:rtl w:val="1"/>
        </w:rPr>
        <w:t>19. Writer Modes</w:t>
      </w:r>
    </w:p>
    <w:tbl>
      <w:tblPr>
        <w:tblW w:type="auto" w:w="0"/>
        <w:jc w:val="center"/>
        <w:tblLook w:firstColumn="1" w:firstRow="1" w:lastColumn="0" w:lastRow="0" w:noHBand="0" w:noVBand="1" w:val="04A0"/>
      </w:tblPr>
      <w:tblGrid>
        <w:gridCol w:w="3389"/>
        <w:gridCol w:w="3389"/>
        <w:gridCol w:w="3389"/>
      </w:tblGrid>
      <w:tr>
        <w:trPr>
          <w:tblHeader w:val="true"/>
        </w:trPr>
        <w:tc>
          <w:tcPr>
            <w:tcW w:type="dxa" w:w="216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Mode</w:t>
            </w:r>
          </w:p>
        </w:tc>
        <w:tc>
          <w:tcPr>
            <w:tcW w:type="dxa" w:w="230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מתי</w:t>
            </w:r>
          </w:p>
        </w:tc>
        <w:tc>
          <w:tcPr>
            <w:tcW w:type="dxa" w:w="576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מה מותר</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Read-only</w:t>
            </w:r>
          </w:p>
        </w:tc>
        <w:tc>
          <w:tcPr>
            <w:tcW w:type="dxa" w:w="230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Reverse Engineering</w:t>
            </w:r>
          </w:p>
        </w:tc>
        <w:tc>
          <w:tcPr>
            <w:tcW w:type="dxa" w:w="57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Parse + inspect בלבד</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Safe Writer</w:t>
            </w:r>
          </w:p>
        </w:tc>
        <w:tc>
          <w:tcPr>
            <w:tcW w:type="dxa" w:w="230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Production</w:t>
            </w:r>
          </w:p>
        </w:tc>
        <w:tc>
          <w:tcPr>
            <w:tcW w:type="dxa" w:w="57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Known verified fields + preserved unknowns</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Experimental Writer</w:t>
            </w:r>
          </w:p>
        </w:tc>
        <w:tc>
          <w:tcPr>
            <w:tcW w:type="dxa" w:w="230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Lab/Research</w:t>
            </w:r>
          </w:p>
        </w:tc>
        <w:tc>
          <w:tcPr>
            <w:tcW w:type="dxa" w:w="57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Patch fields שהוגדרו EXPERIMENTAL; לא production artifact</w:t>
            </w:r>
          </w:p>
        </w:tc>
      </w:tr>
    </w:tbl>
    <w:p/>
    <w:p>
      <w:pPr>
        <w:pStyle w:val="Heading1"/>
        <w:jc w:val="right"/>
        <w:bidi w:val="1"/>
        <w:keepNext/>
      </w:pPr>
      <w:r>
        <w:rPr>
          <w:rtl w:val="1"/>
        </w:rPr>
        <w:t>20. Semantic Round Trip</w:t>
      </w:r>
    </w:p>
    <w:p>
      <w:pPr>
        <w:pStyle w:val="CodeBlock"/>
        <w:jc w:val="left"/>
        <w:bidi w:val="0"/>
      </w:pPr>
      <w:r>
        <w:rPr>
          <w:rFonts w:ascii="DejaVu Sans Mono" w:hAnsi="DejaVu Sans Mono" w:cs="DejaVu Sans Mono"/>
          <w:rtl w:val="0"/>
        </w:rPr>
        <w:t>STY A</w:t>
        <w:br/>
        <w:t xml:space="preserve"> ↓ parse</w:t>
        <w:br/>
        <w:t>Model A</w:t>
        <w:br/>
        <w:t xml:space="preserve"> ↓ write</w:t>
        <w:br/>
        <w:t>STY B</w:t>
        <w:br/>
        <w:t xml:space="preserve"> ↓ parse</w:t>
        <w:br/>
        <w:t>Model B</w:t>
        <w:br/>
        <w:br/>
        <w:t>Acceptance:</w:t>
        <w:br/>
        <w:t>semantic(Model A) == semantic(Model B)</w:t>
        <w:br/>
        <w:t>AND</w:t>
        <w:br/>
        <w:t>preserve_policy == satisfied</w:t>
      </w:r>
    </w:p>
    <w:p>
      <w:pPr>
        <w:pStyle w:val="BodyText"/>
        <w:jc w:val="right"/>
        <w:bidi w:val="1"/>
      </w:pPr>
      <w:r>
        <w:rPr>
          <w:rtl w:val="1"/>
        </w:rPr>
        <w:t>Byte-for-Byte equality אינה דרישה כללית. במקומות שבהם unknown raw regions נדרשות, בודקים byte preservation. במקומות שבהם writer normalizes serialization, בודקים semantic equivalence.</w:t>
      </w:r>
    </w:p>
    <w:p>
      <w:pPr>
        <w:pStyle w:val="Heading1"/>
        <w:jc w:val="right"/>
        <w:bidi w:val="1"/>
        <w:keepNext/>
        <w:pageBreakBefore/>
      </w:pPr>
      <w:r>
        <w:rPr>
          <w:rtl w:val="1"/>
        </w:rPr>
        <w:t>חלק V — Stage A: כלי לפענוח וסיווג הדגימות</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21. מטרת Stage A</w:t>
      </w:r>
    </w:p>
    <w:p>
      <w:pPr>
        <w:pStyle w:val="BodyText"/>
        <w:jc w:val="right"/>
        <w:bidi w:val="1"/>
      </w:pPr>
      <w:r>
        <w:rPr>
          <w:rtl w:val="1"/>
        </w:rPr>
        <w:t>Stage A בונה ספריית סאונד של ה־SET שהמשתמש העלה. היא אינה רק extractor; היא Resource Intelligence Engine שמבין איזה Sample נמצא איפה, לאיזה Key הוא מחובר, ומה תפקידו המוזיקלי המשוער.</w:t>
      </w:r>
    </w:p>
    <w:p>
      <w:pPr>
        <w:pStyle w:val="Heading1"/>
        <w:jc w:val="right"/>
        <w:bidi w:val="1"/>
        <w:keepNext/>
      </w:pPr>
      <w:r>
        <w:rPr>
          <w:rtl w:val="1"/>
        </w:rPr>
        <w:t>22. Pipeline של Stage A</w:t>
      </w:r>
    </w:p>
    <w:p>
      <w:pPr>
        <w:pStyle w:val="CodeBlock"/>
        <w:jc w:val="left"/>
        <w:bidi w:val="0"/>
      </w:pPr>
      <w:r>
        <w:rPr>
          <w:rFonts w:ascii="DejaVu Sans Mono" w:hAnsi="DejaVu Sans Mono" w:cs="DejaVu Sans Mono"/>
          <w:rtl w:val="0"/>
        </w:rPr>
        <w:t>SET / SET.ZIP</w:t>
        <w:br/>
        <w:t xml:space="preserve">   ↓</w:t>
        <w:br/>
        <w:t>Safe ingestion</w:t>
        <w:br/>
        <w:t xml:space="preserve">   ↓</w:t>
        <w:br/>
        <w:t>SET tree parser</w:t>
        <w:br/>
        <w:t xml:space="preserve">   ↓</w:t>
        <w:br/>
        <w:t>KMP / KSF / Sound / DrumKit resolution</w:t>
        <w:br/>
        <w:t xml:space="preserve">   ↓</w:t>
        <w:br/>
        <w:t>Sample decoder</w:t>
        <w:br/>
        <w:t xml:space="preserve">   ↓</w:t>
        <w:br/>
        <w:t>Normalized WAV</w:t>
        <w:br/>
        <w:t xml:space="preserve">   ↓</w:t>
        <w:br/>
        <w:t>Audio features</w:t>
        <w:br/>
        <w:t xml:space="preserve">   ↓</w:t>
        <w:br/>
        <w:t>Semantic classifier</w:t>
        <w:br/>
        <w:t xml:space="preserve">   ↓</w:t>
        <w:br/>
        <w:t>Key → Sample → Semantic Role map</w:t>
        <w:br/>
        <w:t xml:space="preserve">   ↓</w:t>
        <w:br/>
        <w:t>Human Review if needed</w:t>
      </w:r>
    </w:p>
    <w:p>
      <w:pPr>
        <w:pStyle w:val="Heading1"/>
        <w:jc w:val="right"/>
        <w:bidi w:val="1"/>
        <w:keepNext/>
      </w:pPr>
      <w:r>
        <w:rPr>
          <w:rtl w:val="1"/>
        </w:rPr>
        <w:t>23. Essentia — תפקיד נכון</w:t>
      </w:r>
    </w:p>
    <w:p>
      <w:pPr>
        <w:pStyle w:val="BodyText"/>
        <w:jc w:val="right"/>
        <w:bidi w:val="1"/>
      </w:pPr>
      <w:r>
        <w:rPr>
          <w:rtl w:val="1"/>
        </w:rPr>
        <w:t>Essentia מתאימה מאוד ל־audio analysis: FFT, spectral descriptors, onset, rhythm, loudness ועוד, וגם מאפשרת inference/classification. אבל היא אינה “מנוע קסם” שמחליט בעצמו ש־WAV הוא Kick. לכן M2S משתמש ב־Essentia כ־feature/analysis layer, ומחבר classifier ייעודי או מודל embeddings שמותאם ל־Drum Sample taxonomy.</w:t>
      </w:r>
    </w:p>
    <w:p>
      <w:pPr>
        <w:pStyle w:val="SourceNote"/>
        <w:jc w:val="right"/>
        <w:bidi w:val="1"/>
      </w:pPr>
      <w:r>
        <w:rPr>
          <w:i/>
          <w:color w:val="6B7280"/>
          <w:rtl w:val="1"/>
        </w:rPr>
        <w:t>Essentia Documentation: audio analysis, spectral/time/rhythm descriptors, classification and model inference.</w:t>
      </w:r>
    </w:p>
    <w:p>
      <w:pPr>
        <w:pStyle w:val="Heading1"/>
        <w:jc w:val="right"/>
        <w:bidi w:val="1"/>
        <w:keepNext/>
      </w:pPr>
      <w:r>
        <w:rPr>
          <w:rtl w:val="1"/>
        </w:rPr>
        <w:t>24. Sample Registry</w:t>
      </w:r>
    </w:p>
    <w:tbl>
      <w:tblPr>
        <w:tblW w:type="auto" w:w="0"/>
        <w:jc w:val="center"/>
        <w:tblLook w:firstColumn="1" w:firstRow="1" w:lastColumn="0" w:lastRow="0" w:noHBand="0" w:noVBand="1" w:val="04A0"/>
      </w:tblPr>
      <w:tblGrid>
        <w:gridCol w:w="5083"/>
        <w:gridCol w:w="5083"/>
      </w:tblGrid>
      <w:tr>
        <w:trPr>
          <w:tblHeader w:val="true"/>
        </w:trPr>
        <w:tc>
          <w:tcPr>
            <w:tcW w:type="dxa" w:w="302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שדה</w:t>
            </w:r>
          </w:p>
        </w:tc>
        <w:tc>
          <w:tcPr>
            <w:tcW w:type="dxa" w:w="720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תוכן</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sample_id</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ID פנימי יציב</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source_file</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קובץ KSF המקורי כאשר קיים</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normalized_wav</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Working WAV</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sample_rate / bit_depth / channels</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Metadata decoded</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loop</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loop start/end כאשר ידוע</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source_keys</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Keys המשתמשים במשאב</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semantic_role</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Kick/Snare/HH/etc.</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classification_confidence</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0–1 לאחר calibration</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evidence_level</w:t>
            </w:r>
          </w:p>
        </w:tc>
        <w:tc>
          <w:tcPr>
            <w:tcW w:type="dxa" w:w="720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VERIFIED / DOCUMENTED / EXPERIMENTAL</w:t>
            </w:r>
          </w:p>
        </w:tc>
      </w:tr>
    </w:tbl>
    <w:p/>
    <w:p>
      <w:pPr>
        <w:pStyle w:val="Heading1"/>
        <w:jc w:val="right"/>
        <w:bidi w:val="1"/>
        <w:keepNext/>
      </w:pPr>
      <w:r>
        <w:rPr>
          <w:rtl w:val="1"/>
        </w:rPr>
        <w:t>25. Semantic Taxonomy</w:t>
      </w:r>
    </w:p>
    <w:p>
      <w:pPr>
        <w:pStyle w:val="CodeBlock"/>
        <w:jc w:val="left"/>
        <w:bidi w:val="0"/>
      </w:pPr>
      <w:r>
        <w:rPr>
          <w:rFonts w:ascii="DejaVu Sans Mono" w:hAnsi="DejaVu Sans Mono" w:cs="DejaVu Sans Mono"/>
          <w:rtl w:val="0"/>
        </w:rPr>
        <w:t>KICK</w:t>
        <w:br/>
        <w:t>SNARE_HEAD</w:t>
        <w:br/>
        <w:t>SNARE_RIM</w:t>
        <w:br/>
        <w:t>HH_CLOSED</w:t>
        <w:br/>
        <w:t>HH_OPEN</w:t>
        <w:br/>
        <w:t>TOM_LOW</w:t>
        <w:br/>
        <w:t>TOM_MID</w:t>
        <w:br/>
        <w:t>TOM_HIGH</w:t>
        <w:br/>
        <w:t>CRASH</w:t>
        <w:br/>
        <w:t>RIDE</w:t>
        <w:br/>
        <w:t>RIDE_BELL</w:t>
        <w:br/>
        <w:t>CLAP</w:t>
        <w:br/>
        <w:t>PERCUSSION</w:t>
        <w:br/>
        <w:t>OTHER</w:t>
      </w:r>
    </w:p>
    <w:p>
      <w:pPr>
        <w:pStyle w:val="BodyText"/>
        <w:jc w:val="right"/>
        <w:bidi w:val="1"/>
      </w:pPr>
      <w:r>
        <w:rPr>
          <w:rtl w:val="1"/>
        </w:rPr>
        <w:t>אפשר להרחיב את הטקסונומיה, אבל התוספת חייבת להיות backward compatible. כל Semantic Role הוא מושג M2S; אין להסיק ממנו MIDI note number קבוע.</w:t>
      </w:r>
    </w:p>
    <w:p>
      <w:pPr>
        <w:pStyle w:val="Heading1"/>
        <w:jc w:val="right"/>
        <w:bidi w:val="1"/>
        <w:keepNext/>
      </w:pPr>
      <w:r>
        <w:rPr>
          <w:rtl w:val="1"/>
        </w:rPr>
        <w:t>26. Human Review של Stage A</w:t>
      </w:r>
    </w:p>
    <w:p>
      <w:pPr>
        <w:pStyle w:val="BodyText"/>
        <w:jc w:val="right"/>
        <w:bidi w:val="1"/>
      </w:pPr>
      <w:r>
        <w:rPr>
          <w:rtl w:val="1"/>
        </w:rPr>
        <w:t>כאשר classifier אינו בטוח, UI מציג Sample, Key(s), waveform/spectrogram preview, role candidates ו־confidence. בחירת המשתמש נשמרת כ־User Override ומקבלת קדימות על פני Model.</w:t>
      </w:r>
    </w:p>
    <w:p>
      <w:pPr>
        <w:pStyle w:val="CodeBlock"/>
        <w:jc w:val="left"/>
        <w:bidi w:val="0"/>
      </w:pPr>
      <w:r>
        <w:rPr>
          <w:rFonts w:ascii="DejaVu Sans Mono" w:hAnsi="DejaVu Sans Mono" w:cs="DejaVu Sans Mono"/>
          <w:rtl w:val="0"/>
        </w:rPr>
        <w:t>USER</w:t>
        <w:br/>
        <w:t xml:space="preserve">  &gt;</w:t>
        <w:br/>
        <w:t>POLICY</w:t>
        <w:br/>
        <w:t xml:space="preserve">  &gt;</w:t>
        <w:br/>
        <w:t>MODEL</w:t>
        <w:br/>
        <w:t xml:space="preserve">  &gt;</w:t>
        <w:br/>
        <w:t>DEFAULT</w:t>
      </w:r>
    </w:p>
    <w:p>
      <w:pPr>
        <w:pStyle w:val="Heading1"/>
        <w:jc w:val="right"/>
        <w:bidi w:val="1"/>
        <w:keepNext/>
      </w:pPr>
      <w:r>
        <w:rPr>
          <w:rtl w:val="1"/>
        </w:rPr>
        <w:t>27. Stage A Acceptance</w:t>
      </w:r>
    </w:p>
    <w:tbl>
      <w:tblPr>
        <w:tblW w:type="auto" w:w="0"/>
        <w:jc w:val="center"/>
        <w:tblLook w:firstColumn="1" w:firstRow="1" w:lastColumn="0" w:lastRow="0" w:noHBand="0" w:noVBand="1" w:val="04A0"/>
      </w:tblPr>
      <w:tblGrid>
        <w:gridCol w:w="5083"/>
        <w:gridCol w:w="5083"/>
      </w:tblGrid>
      <w:tr>
        <w:trPr>
          <w:tblHeader w:val="true"/>
        </w:trPr>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Check</w:t>
            </w:r>
          </w:p>
        </w:tc>
        <w:tc>
          <w:tcPr>
            <w:tcW w:type="dxa" w:w="734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PASS when</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Resource extraction</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כל resource שנדרש ל־mapping נפתר</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Sample decode</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Sample can be opened/validated</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Key map</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Key→sample references are deterministic</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Classification</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Confidence exists or REVIEW_REQUIRED</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Cache</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Repeated use of identical SET reuses analysis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No mutation</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Source SET remains untouched</w:t>
            </w:r>
          </w:p>
        </w:tc>
      </w:tr>
    </w:tbl>
    <w:p/>
    <w:p>
      <w:pPr>
        <w:pStyle w:val="Heading1"/>
        <w:jc w:val="right"/>
        <w:bidi w:val="1"/>
        <w:keepNext/>
        <w:pageBreakBefore/>
      </w:pPr>
      <w:r>
        <w:rPr>
          <w:rtl w:val="1"/>
        </w:rPr>
        <w:t>חלק VI — Stage B: Audio Separation</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28. מטרת Stage B</w:t>
      </w:r>
    </w:p>
    <w:p>
      <w:pPr>
        <w:pStyle w:val="BodyText"/>
        <w:jc w:val="right"/>
        <w:bidi w:val="1"/>
      </w:pPr>
      <w:r>
        <w:rPr>
          <w:rtl w:val="1"/>
        </w:rPr>
        <w:t>Stage B מקבל Audio שהמשתמש העלה, או URL שניתן לעבד כחוק ובהתאם למגבלות הספק, ומנסה לבודד את התופים או stem קרוב מספיק לתופים כדי שה־ADT יעבוד טוב יותר.</w:t>
      </w:r>
    </w:p>
    <w:p>
      <w:pPr>
        <w:pStyle w:val="Heading1"/>
        <w:jc w:val="right"/>
        <w:bidi w:val="1"/>
        <w:keepNext/>
      </w:pPr>
      <w:r>
        <w:rPr>
          <w:rtl w:val="1"/>
        </w:rPr>
        <w:t>29. URL Ingestion</w:t>
      </w:r>
    </w:p>
    <w:tbl>
      <w:tblPr>
        <w:tblW w:type="auto" w:w="0"/>
        <w:jc w:val="center"/>
        <w:tblLook w:firstColumn="1" w:firstRow="1" w:lastColumn="0" w:lastRow="0" w:noHBand="0" w:noVBand="1" w:val="04A0"/>
      </w:tblPr>
      <w:tblGrid>
        <w:gridCol w:w="10166"/>
      </w:tblGrid>
      <w:tr>
        <w:trPr>
          <w:tblHeader w:val="true"/>
        </w:trPr>
        <w:tc>
          <w:tcPr>
            <w:tcW w:type="dxa" w:w="10166"/>
            <w:shd w:fill="FFF6DF"/>
            <w:tcBorders>
              <w:top w:val="single" w:sz="4" w:color="D9E0E6"/>
              <w:left w:val="single" w:sz="18" w:color="C98917"/>
              <w:bottom w:val="single" w:sz="4" w:color="D9E0E6"/>
              <w:right w:val="single" w:sz="4" w:color="D9E0E6"/>
            </w:tcBorders>
            <w:tcMar>
              <w:top w:w="140" w:type="dxa"/>
              <w:start w:w="180" w:type="dxa"/>
              <w:bottom w:w="140" w:type="dxa"/>
              <w:end w:w="180" w:type="dxa"/>
            </w:tcMar>
          </w:tcPr>
          <w:p>
            <w:pPr>
              <w:jc w:val="right"/>
              <w:bidi w:val="1"/>
            </w:pPr>
            <w:r>
              <w:rPr>
                <w:b/>
                <w:color w:val="C98917"/>
                <w:rtl w:val="1"/>
              </w:rPr>
              <w:t>מדיניות URL</w:t>
            </w:r>
          </w:p>
          <w:p>
            <w:pPr>
              <w:jc w:val="right"/>
              <w:bidi w:val="1"/>
            </w:pPr>
            <w:r>
              <w:rPr>
                <w:rtl w:val="1"/>
              </w:rPr>
              <w:t>Paste-a-link הוא feature של ingestion, לא עוקף זכויות. המערכת רשאית לעבד רק תוכן שהגישה אליו מותרת לפי מקור/חשבון/שירות. כאשר אין דרך מאושרת להביא Audio, ה־UI מבקש העלאת קובץ.</w:t>
            </w:r>
          </w:p>
        </w:tc>
      </w:tr>
    </w:tbl>
    <w:p/>
    <w:p>
      <w:pPr>
        <w:pStyle w:val="Heading1"/>
        <w:jc w:val="right"/>
        <w:bidi w:val="1"/>
        <w:keepNext/>
      </w:pPr>
      <w:r>
        <w:rPr>
          <w:rtl w:val="1"/>
        </w:rPr>
        <w:t>30. Separator Contract</w:t>
      </w:r>
    </w:p>
    <w:p>
      <w:pPr>
        <w:pStyle w:val="CodeBlock"/>
        <w:jc w:val="left"/>
        <w:bidi w:val="0"/>
      </w:pPr>
      <w:r>
        <w:rPr>
          <w:rFonts w:ascii="DejaVu Sans Mono" w:hAnsi="DejaVu Sans Mono" w:cs="DejaVu Sans Mono"/>
          <w:rtl w:val="0"/>
        </w:rPr>
        <w:t>class ISourceSeparator:</w:t>
        <w:br/>
        <w:t xml:space="preserve">    def separate(self, audio_path, output_dir, config):</w:t>
        <w:br/>
        <w:t xml:space="preserve">        -&gt; SeparationResult</w:t>
      </w:r>
    </w:p>
    <w:p>
      <w:pPr>
        <w:pStyle w:val="BodyText"/>
        <w:jc w:val="right"/>
        <w:bidi w:val="1"/>
      </w:pPr>
      <w:r>
        <w:rPr>
          <w:rtl w:val="1"/>
        </w:rPr>
        <w:t>Demucs יכול לשמש Backend, אבל אינו dependency hard-coded. ה־repository המקורי ב־facebookresearch מסומן archived, ולכן המערכת חייבת להיות backend-pluggable.</w:t>
      </w:r>
    </w:p>
    <w:p>
      <w:pPr>
        <w:pStyle w:val="SourceNote"/>
        <w:jc w:val="right"/>
        <w:bidi w:val="1"/>
      </w:pPr>
      <w:r>
        <w:rPr>
          <w:i/>
          <w:color w:val="6B7280"/>
          <w:rtl w:val="1"/>
        </w:rPr>
        <w:t>facebookresearch/demucs repository: archived on 2025-01-01. Use an adapter layer and record model/version/hash.</w:t>
      </w:r>
    </w:p>
    <w:p>
      <w:pPr>
        <w:pStyle w:val="Heading1"/>
        <w:jc w:val="right"/>
        <w:bidi w:val="1"/>
        <w:keepNext/>
      </w:pPr>
      <w:r>
        <w:rPr>
          <w:rtl w:val="1"/>
        </w:rPr>
        <w:t>31. Stem Quality Gate</w:t>
      </w:r>
    </w:p>
    <w:tbl>
      <w:tblPr>
        <w:tblW w:type="auto" w:w="0"/>
        <w:jc w:val="center"/>
        <w:tblLook w:firstColumn="1" w:firstRow="1" w:lastColumn="0" w:lastRow="0" w:noHBand="0" w:noVBand="1" w:val="04A0"/>
      </w:tblPr>
      <w:tblGrid>
        <w:gridCol w:w="5083"/>
        <w:gridCol w:w="5083"/>
      </w:tblGrid>
      <w:tr>
        <w:trPr>
          <w:tblHeader w:val="true"/>
        </w:trPr>
        <w:tc>
          <w:tcPr>
            <w:tcW w:type="dxa" w:w="345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מדד</w:t>
            </w:r>
          </w:p>
        </w:tc>
        <w:tc>
          <w:tcPr>
            <w:tcW w:type="dxa" w:w="676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דוגמה</w:t>
            </w:r>
          </w:p>
        </w:tc>
      </w:tr>
      <w:tr>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Clipping</w:t>
            </w:r>
          </w:p>
        </w:tc>
        <w:tc>
          <w:tcPr>
            <w:tcW w:type="dxa" w:w="676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true/false + severity</w:t>
            </w:r>
          </w:p>
        </w:tc>
      </w:tr>
      <w:tr>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Silence</w:t>
            </w:r>
          </w:p>
        </w:tc>
        <w:tc>
          <w:tcPr>
            <w:tcW w:type="dxa" w:w="676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true/false</w:t>
            </w:r>
          </w:p>
        </w:tc>
      </w:tr>
      <w:tr>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Residual bleed</w:t>
            </w:r>
          </w:p>
        </w:tc>
        <w:tc>
          <w:tcPr>
            <w:tcW w:type="dxa" w:w="676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estimated</w:t>
            </w:r>
          </w:p>
        </w:tc>
      </w:tr>
      <w:tr>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SNR proxy</w:t>
            </w:r>
          </w:p>
        </w:tc>
        <w:tc>
          <w:tcPr>
            <w:tcW w:type="dxa" w:w="676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estimated</w:t>
            </w:r>
          </w:p>
        </w:tc>
      </w:tr>
      <w:tr>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Separation confidence</w:t>
            </w:r>
          </w:p>
        </w:tc>
        <w:tc>
          <w:tcPr>
            <w:tcW w:type="dxa" w:w="676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calibrated</w:t>
            </w:r>
          </w:p>
        </w:tc>
      </w:tr>
      <w:tr>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Fallback recommendation</w:t>
            </w:r>
          </w:p>
        </w:tc>
        <w:tc>
          <w:tcPr>
            <w:tcW w:type="dxa" w:w="676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direct ADT / re-run / review</w:t>
            </w:r>
          </w:p>
        </w:tc>
      </w:tr>
    </w:tbl>
    <w:p/>
    <w:p>
      <w:pPr>
        <w:pStyle w:val="Heading1"/>
        <w:jc w:val="right"/>
        <w:bidi w:val="1"/>
        <w:keepNext/>
      </w:pPr>
      <w:r>
        <w:rPr>
          <w:rtl w:val="1"/>
        </w:rPr>
        <w:t>32. Fallback Strategy</w:t>
      </w:r>
    </w:p>
    <w:p>
      <w:pPr>
        <w:pStyle w:val="CodeBlock"/>
        <w:jc w:val="left"/>
        <w:bidi w:val="0"/>
      </w:pPr>
      <w:r>
        <w:rPr>
          <w:rFonts w:ascii="DejaVu Sans Mono" w:hAnsi="DejaVu Sans Mono" w:cs="DejaVu Sans Mono"/>
          <w:rtl w:val="0"/>
        </w:rPr>
        <w:t>Primary:</w:t>
        <w:br/>
        <w:t>Mix → Separator → Drum Stem → ADT</w:t>
        <w:br/>
        <w:br/>
        <w:t>Fallback A:</w:t>
        <w:br/>
        <w:t>Mix → Drum ADT directly</w:t>
        <w:br/>
        <w:br/>
        <w:t>Fallback B:</w:t>
        <w:br/>
        <w:t>Alternative separator → Drum ADT</w:t>
        <w:br/>
        <w:br/>
        <w:t>Fallback C:</w:t>
        <w:br/>
        <w:t>Human review / upload drum stem</w:t>
      </w:r>
    </w:p>
    <w:p>
      <w:pPr>
        <w:pStyle w:val="BodyText"/>
        <w:jc w:val="right"/>
        <w:bidi w:val="1"/>
      </w:pPr>
      <w:r>
        <w:rPr>
          <w:rtl w:val="1"/>
        </w:rPr>
        <w:t>אין חובה לעבור דרך Separation כאשר איכות ה־separation נמוכה. המערכת צריכה לבחור את המסלול עם evidence טוב יותר.</w:t>
      </w:r>
    </w:p>
    <w:p>
      <w:pPr>
        <w:pStyle w:val="Heading1"/>
        <w:jc w:val="right"/>
        <w:bidi w:val="1"/>
        <w:keepNext/>
        <w:pageBreakBefore/>
      </w:pPr>
      <w:r>
        <w:rPr>
          <w:rtl w:val="1"/>
        </w:rPr>
        <w:t>חלק VII — Stage C: Audio-to-MIDI / Drum ADT</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33. מטרת Stage C</w:t>
      </w:r>
    </w:p>
    <w:p>
      <w:pPr>
        <w:pStyle w:val="BodyText"/>
        <w:jc w:val="right"/>
        <w:bidi w:val="1"/>
      </w:pPr>
      <w:r>
        <w:rPr>
          <w:rtl w:val="1"/>
        </w:rPr>
        <w:t>Stage C הופך Audio ל־events סמליים: onset, instrument role, velocity ו־confidence. עבור Drum events אנחנו מדברים על percussion classes ולא על pitch musical note במובן של פסנתר.</w:t>
      </w:r>
    </w:p>
    <w:p>
      <w:pPr>
        <w:pStyle w:val="Heading1"/>
        <w:jc w:val="right"/>
        <w:bidi w:val="1"/>
        <w:keepNext/>
      </w:pPr>
      <w:r>
        <w:rPr>
          <w:rtl w:val="1"/>
        </w:rPr>
        <w:t>34. ADT Backend</w:t>
      </w:r>
    </w:p>
    <w:p>
      <w:pPr>
        <w:pStyle w:val="BodyText"/>
        <w:jc w:val="right"/>
        <w:bidi w:val="1"/>
      </w:pPr>
      <w:r>
        <w:rPr>
          <w:rtl w:val="1"/>
        </w:rPr>
        <w:t>Omnizart הוא baseline מתאים משום שהוא מספק drum transcription ו־beat transcription, ויכול לכתוב MIDI. הוא ייחשב baseline ולא “אמת”. מודלים נוספים ייכנסו דרך adapter.</w:t>
      </w:r>
    </w:p>
    <w:p>
      <w:pPr>
        <w:pStyle w:val="SourceNote"/>
        <w:jc w:val="right"/>
        <w:bidi w:val="1"/>
      </w:pPr>
      <w:r>
        <w:rPr>
          <w:i/>
          <w:color w:val="6B7280"/>
          <w:rtl w:val="1"/>
        </w:rPr>
        <w:t>Omnizart documentation/repository: supports drum and beat transcription; pre-trained checkpoints are available. Its drum training implementation has documented caveats, so production validation is required.</w:t>
      </w:r>
    </w:p>
    <w:p>
      <w:pPr>
        <w:pStyle w:val="Heading1"/>
        <w:jc w:val="right"/>
        <w:bidi w:val="1"/>
        <w:keepNext/>
      </w:pPr>
      <w:r>
        <w:rPr>
          <w:rtl w:val="1"/>
        </w:rPr>
        <w:t>35. Raw Drum Event Model</w:t>
      </w:r>
    </w:p>
    <w:p>
      <w:pPr>
        <w:pStyle w:val="CodeBlock"/>
        <w:jc w:val="left"/>
        <w:bidi w:val="0"/>
      </w:pPr>
      <w:r>
        <w:rPr>
          <w:rFonts w:ascii="DejaVu Sans Mono" w:hAnsi="DejaVu Sans Mono" w:cs="DejaVu Sans Mono"/>
          <w:rtl w:val="0"/>
        </w:rPr>
        <w:t>{</w:t>
        <w:br/>
        <w:t xml:space="preserve">  "event_id": "evt_0001",</w:t>
        <w:br/>
        <w:t xml:space="preserve">  "onset_sec": 0.512,</w:t>
        <w:br/>
        <w:t xml:space="preserve">  "instrument": "KICK",</w:t>
        <w:br/>
        <w:t xml:space="preserve">  "velocity": 108,</w:t>
        <w:br/>
        <w:t xml:space="preserve">  "raw_score": 0.91,</w:t>
        <w:br/>
        <w:t xml:space="preserve">  "confidence": 0.87</w:t>
        <w:br/>
        <w:t>}</w:t>
      </w:r>
    </w:p>
    <w:p>
      <w:pPr>
        <w:pStyle w:val="Heading1"/>
        <w:jc w:val="right"/>
        <w:bidi w:val="1"/>
        <w:keepNext/>
      </w:pPr>
      <w:r>
        <w:rPr>
          <w:rtl w:val="1"/>
        </w:rPr>
        <w:t>36. Velocity Model</w:t>
      </w:r>
    </w:p>
    <w:p>
      <w:pPr>
        <w:pStyle w:val="BodyText"/>
        <w:jc w:val="right"/>
        <w:bidi w:val="1"/>
      </w:pPr>
      <w:r>
        <w:rPr>
          <w:rtl w:val="1"/>
        </w:rPr>
        <w:t>Velocity נשמרת ב־0–127. בשלב ADT היא מייצגת את עוצמת האירוע. בשלב D אפשר לבצע normalization/dynamics shaping, אבל לא לכתוב Layer ID. ה־DrumKit של Korg משתמש ב־Velocity כדי להפעיל שכבות/בחירה בהתאם להגדרתו.</w:t>
      </w:r>
    </w:p>
    <w:p>
      <w:pPr>
        <w:pStyle w:val="Heading1"/>
        <w:jc w:val="right"/>
        <w:bidi w:val="1"/>
        <w:keepNext/>
      </w:pPr>
      <w:r>
        <w:rPr>
          <w:rtl w:val="1"/>
        </w:rPr>
        <w:t>37. Event De-duplication</w:t>
      </w:r>
    </w:p>
    <w:p>
      <w:pPr>
        <w:pStyle w:val="CodeBlock"/>
        <w:jc w:val="left"/>
        <w:bidi w:val="0"/>
      </w:pPr>
      <w:r>
        <w:rPr>
          <w:rFonts w:ascii="DejaVu Sans Mono" w:hAnsi="DejaVu Sans Mono" w:cs="DejaVu Sans Mono"/>
          <w:rtl w:val="0"/>
        </w:rPr>
        <w:t>for each instrument class:</w:t>
        <w:br/>
        <w:t xml:space="preserve">    sort by onset</w:t>
        <w:br/>
        <w:t xml:space="preserve">    merge near-duplicate events</w:t>
        <w:br/>
        <w:t xml:space="preserve">    keep highest-confidence event</w:t>
        <w:br/>
        <w:t xml:space="preserve">    preserve a provenance trail</w:t>
      </w:r>
    </w:p>
    <w:p>
      <w:pPr>
        <w:pStyle w:val="Heading1"/>
        <w:jc w:val="right"/>
        <w:bidi w:val="1"/>
        <w:keepNext/>
      </w:pPr>
      <w:r>
        <w:rPr>
          <w:rtl w:val="1"/>
        </w:rPr>
        <w:t>38. Confidence Calibration</w:t>
      </w:r>
    </w:p>
    <w:p>
      <w:pPr>
        <w:pStyle w:val="BodyText"/>
        <w:jc w:val="right"/>
        <w:bidi w:val="1"/>
      </w:pPr>
      <w:r>
        <w:rPr>
          <w:rtl w:val="1"/>
        </w:rPr>
        <w:t>Raw model score אינו confidence מבצעי. צריך validation corpus ו־calibration. confidence עובר הלאה אל Stage D כדי לאפשר Human Review ולא רק threshold קשיח.</w:t>
      </w:r>
    </w:p>
    <w:p>
      <w:pPr>
        <w:pStyle w:val="Heading1"/>
        <w:jc w:val="right"/>
        <w:bidi w:val="1"/>
        <w:keepNext/>
      </w:pPr>
      <w:r>
        <w:rPr>
          <w:rtl w:val="1"/>
        </w:rPr>
        <w:t>39. Diagnostic MIDI</w:t>
      </w:r>
    </w:p>
    <w:p>
      <w:pPr>
        <w:pStyle w:val="BodyText"/>
        <w:jc w:val="right"/>
        <w:bidi w:val="1"/>
      </w:pPr>
      <w:r>
        <w:rPr>
          <w:rtl w:val="1"/>
        </w:rPr>
        <w:t>לצורכי QA, Stage C מפיק Diagnostic MIDI שמאפשר לטעון את האירועים ל־DAW או לבודק MIDI. הקובץ הזה אינו Native STY ואינו משמש כהוכחה שה־Korg Compiler תקין.</w:t>
      </w:r>
    </w:p>
    <w:p>
      <w:pPr>
        <w:pStyle w:val="Heading1"/>
        <w:jc w:val="right"/>
        <w:bidi w:val="1"/>
        <w:keepNext/>
      </w:pPr>
      <w:r>
        <w:rPr>
          <w:rtl w:val="1"/>
        </w:rPr>
        <w:t>40. Stage C Acceptance</w:t>
      </w:r>
    </w:p>
    <w:tbl>
      <w:tblPr>
        <w:tblW w:type="auto" w:w="0"/>
        <w:jc w:val="center"/>
        <w:tblLook w:firstColumn="1" w:firstRow="1" w:lastColumn="0" w:lastRow="0" w:noHBand="0" w:noVBand="1" w:val="04A0"/>
      </w:tblPr>
      <w:tblGrid>
        <w:gridCol w:w="5083"/>
        <w:gridCol w:w="5083"/>
      </w:tblGrid>
      <w:tr>
        <w:trPr>
          <w:tblHeader w:val="true"/>
        </w:trPr>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Check</w:t>
            </w:r>
          </w:p>
        </w:tc>
        <w:tc>
          <w:tcPr>
            <w:tcW w:type="dxa" w:w="734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Criterion</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Event timing</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Onset error within benchmark threshold</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Instrument class</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F1 on declared supported taxonomy</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Velocity</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MAE/RMSE within benchmark threshold</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Confidence</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Calibrated and monotonic enough for review</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Fallback</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Low-quality stem has alternative path</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Reproducibility</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Backend/model/config are stored</w:t>
            </w:r>
          </w:p>
        </w:tc>
      </w:tr>
    </w:tbl>
    <w:p/>
    <w:p>
      <w:pPr>
        <w:pStyle w:val="Heading1"/>
        <w:jc w:val="right"/>
        <w:bidi w:val="1"/>
        <w:keepNext/>
        <w:pageBreakBefore/>
      </w:pPr>
      <w:r>
        <w:rPr>
          <w:rtl w:val="1"/>
        </w:rPr>
        <w:t>חלק VIII — Stage D: יישור המקצב + Remapping</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41. זו שכבת ה־Musical Intelligence המרכזית</w:t>
      </w:r>
    </w:p>
    <w:p>
      <w:pPr>
        <w:pStyle w:val="BodyText"/>
        <w:jc w:val="right"/>
        <w:bidi w:val="1"/>
      </w:pPr>
      <w:r>
        <w:rPr>
          <w:rtl w:val="1"/>
        </w:rPr>
        <w:t>הסכנה הגדולה היא להפוך כל microtiming של הביצוע ל־Style pattern. Stage D מייצר קודם Timing Model, אחר כך Canonical Pattern, ורק אז quantization ו־remapping. כך המקצב נשאר מזוהה לפי המבנה שלו, ולא לפי האופן שבו מתופף ביצע אותו באותה הקלטה.</w:t>
      </w:r>
    </w:p>
    <w:p>
      <w:pPr>
        <w:pStyle w:val="Heading1"/>
        <w:jc w:val="right"/>
        <w:bidi w:val="1"/>
        <w:keepNext/>
      </w:pPr>
      <w:r>
        <w:rPr>
          <w:rtl w:val="1"/>
        </w:rPr>
        <w:t>42. Timing Model</w:t>
      </w:r>
    </w:p>
    <w:p>
      <w:pPr>
        <w:pStyle w:val="CodeBlock"/>
        <w:jc w:val="left"/>
        <w:bidi w:val="0"/>
      </w:pPr>
      <w:r>
        <w:rPr>
          <w:rFonts w:ascii="DejaVu Sans Mono" w:hAnsi="DejaVu Sans Mono" w:cs="DejaVu Sans Mono"/>
          <w:rtl w:val="0"/>
        </w:rPr>
        <w:t>Audio/MIDI</w:t>
        <w:br/>
        <w:t xml:space="preserve"> ↓</w:t>
        <w:br/>
        <w:t>tempo candidates</w:t>
        <w:br/>
        <w:t xml:space="preserve"> ↓</w:t>
        <w:br/>
        <w:t>beat candidates</w:t>
        <w:br/>
        <w:t xml:space="preserve"> ↓</w:t>
        <w:br/>
        <w:t>downbeat candidates</w:t>
        <w:br/>
        <w:t xml:space="preserve"> ↓</w:t>
        <w:br/>
        <w:t>meter candidates</w:t>
        <w:br/>
        <w:t xml:space="preserve"> ↓</w:t>
        <w:br/>
        <w:t>bar boundaries</w:t>
        <w:br/>
        <w:t xml:space="preserve"> ↓</w:t>
        <w:br/>
        <w:t>timing confidence</w:t>
      </w:r>
    </w:p>
    <w:p>
      <w:pPr>
        <w:pStyle w:val="BodyText"/>
        <w:jc w:val="right"/>
        <w:bidi w:val="1"/>
      </w:pPr>
      <w:r>
        <w:rPr>
          <w:rtl w:val="1"/>
        </w:rPr>
        <w:t>כאשר יש ambiguity של half-time/double-time או pickup, המערכת שומרת candidates ומבצעת reconciliation לפני clustering.</w:t>
      </w:r>
    </w:p>
    <w:p>
      <w:pPr>
        <w:pStyle w:val="Heading1"/>
        <w:jc w:val="right"/>
        <w:bidi w:val="1"/>
        <w:keepNext/>
      </w:pPr>
      <w:r>
        <w:rPr>
          <w:rtl w:val="1"/>
        </w:rPr>
        <w:t>43. Canonical Pattern</w:t>
      </w:r>
    </w:p>
    <w:p>
      <w:pPr>
        <w:pStyle w:val="CodeBlock"/>
        <w:jc w:val="left"/>
        <w:bidi w:val="0"/>
      </w:pPr>
      <w:r>
        <w:rPr>
          <w:rFonts w:ascii="DejaVu Sans Mono" w:hAnsi="DejaVu Sans Mono" w:cs="DejaVu Sans Mono"/>
          <w:rtl w:val="0"/>
        </w:rPr>
        <w:t>Raw Events</w:t>
        <w:br/>
        <w:t xml:space="preserve">  ↓</w:t>
        <w:br/>
        <w:t>bar-relative position</w:t>
        <w:br/>
        <w:t xml:space="preserve">  ↓</w:t>
        <w:br/>
        <w:t>beat-relative position</w:t>
        <w:br/>
        <w:t xml:space="preserve">  ↓</w:t>
        <w:br/>
        <w:t>grid candidate</w:t>
        <w:br/>
        <w:t xml:space="preserve">  ↓</w:t>
        <w:br/>
        <w:t>canonical event positions</w:t>
        <w:br/>
        <w:t xml:space="preserve">  ↓</w:t>
        <w:br/>
        <w:t>fingerprint</w:t>
      </w:r>
    </w:p>
    <w:p>
      <w:pPr>
        <w:pStyle w:val="Heading1"/>
        <w:jc w:val="right"/>
        <w:bidi w:val="1"/>
        <w:keepNext/>
      </w:pPr>
      <w:r>
        <w:rPr>
          <w:rtl w:val="1"/>
        </w:rPr>
        <w:t>44. Pattern Identity לעומת Groove</w:t>
      </w:r>
    </w:p>
    <w:tbl>
      <w:tblPr>
        <w:tblW w:type="auto" w:w="0"/>
        <w:jc w:val="center"/>
        <w:tblLook w:firstColumn="1" w:firstRow="1" w:lastColumn="0" w:lastRow="0" w:noHBand="0" w:noVBand="1" w:val="04A0"/>
      </w:tblPr>
      <w:tblGrid>
        <w:gridCol w:w="5083"/>
        <w:gridCol w:w="5083"/>
      </w:tblGrid>
      <w:tr>
        <w:trPr>
          <w:tblHeader w:val="true"/>
        </w:trPr>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Object</w:t>
            </w:r>
          </w:p>
        </w:tc>
        <w:tc>
          <w:tcPr>
            <w:tcW w:type="dxa" w:w="734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תפקיד</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PatternIdentity</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איזה events קיימים ואיפה הם נמצאים על הרשת המוזיקלית</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GrooveTemplate</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כמה מוקדם/מאוחר האירועים בוצעו בפועל</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VelocityShape</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מבנה הדינמיקה של accents ו־ghosts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HumanFeel</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Optional post-processing, never source-of-truth</w:t>
            </w:r>
          </w:p>
        </w:tc>
      </w:tr>
    </w:tbl>
    <w:p/>
    <w:p>
      <w:pPr>
        <w:pStyle w:val="Heading1"/>
        <w:jc w:val="right"/>
        <w:bidi w:val="1"/>
        <w:keepNext/>
      </w:pPr>
      <w:r>
        <w:rPr>
          <w:rtl w:val="1"/>
        </w:rPr>
        <w:t>45. Quantization Policy</w:t>
      </w:r>
    </w:p>
    <w:tbl>
      <w:tblPr>
        <w:tblW w:type="auto" w:w="0"/>
        <w:jc w:val="center"/>
        <w:tblLook w:firstColumn="1" w:firstRow="1" w:lastColumn="0" w:lastRow="0" w:noHBand="0" w:noVBand="1" w:val="04A0"/>
      </w:tblPr>
      <w:tblGrid>
        <w:gridCol w:w="5083"/>
        <w:gridCol w:w="5083"/>
      </w:tblGrid>
      <w:tr>
        <w:trPr>
          <w:tblHeader w:val="true"/>
        </w:trPr>
        <w:tc>
          <w:tcPr>
            <w:tcW w:type="dxa" w:w="2592"/>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Mode</w:t>
            </w:r>
          </w:p>
        </w:tc>
        <w:tc>
          <w:tcPr>
            <w:tcW w:type="dxa" w:w="7632"/>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התנהגות</w:t>
            </w:r>
          </w:p>
        </w:tc>
      </w:tr>
      <w:tr>
        <w:tc>
          <w:tcPr>
            <w:tcW w:type="dxa" w:w="25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Strict</w:t>
            </w:r>
          </w:p>
        </w:tc>
        <w:tc>
          <w:tcPr>
            <w:tcW w:type="dxa" w:w="76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Snap לרשת 1/16, 1/8, triplet וכו'</w:t>
            </w:r>
          </w:p>
        </w:tc>
      </w:tr>
      <w:tr>
        <w:tc>
          <w:tcPr>
            <w:tcW w:type="dxa" w:w="25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Adaptive</w:t>
            </w:r>
          </w:p>
        </w:tc>
        <w:tc>
          <w:tcPr>
            <w:tcW w:type="dxa" w:w="76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Grid נבחר לפי density + local timing evidence</w:t>
            </w:r>
          </w:p>
        </w:tc>
      </w:tr>
      <w:tr>
        <w:tc>
          <w:tcPr>
            <w:tcW w:type="dxa" w:w="25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Swing-aware</w:t>
            </w:r>
          </w:p>
        </w:tc>
        <w:tc>
          <w:tcPr>
            <w:tcW w:type="dxa" w:w="76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Grid כולל ratio swing</w:t>
            </w:r>
          </w:p>
        </w:tc>
      </w:tr>
      <w:tr>
        <w:tc>
          <w:tcPr>
            <w:tcW w:type="dxa" w:w="25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Off</w:t>
            </w:r>
          </w:p>
        </w:tc>
        <w:tc>
          <w:tcPr>
            <w:tcW w:type="dxa" w:w="76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שומר event positions אבל Pattern Identity עדיין canonicalized</w:t>
            </w:r>
          </w:p>
        </w:tc>
      </w:tr>
    </w:tbl>
    <w:p/>
    <w:tbl>
      <w:tblPr>
        <w:tblW w:type="auto" w:w="0"/>
        <w:jc w:val="center"/>
        <w:tblLook w:firstColumn="1" w:firstRow="1" w:lastColumn="0" w:lastRow="0" w:noHBand="0" w:noVBand="1" w:val="04A0"/>
      </w:tblPr>
      <w:tblGrid>
        <w:gridCol w:w="10166"/>
      </w:tblGrid>
      <w:tr>
        <w:trPr>
          <w:tblHeader w:val="true"/>
        </w:trPr>
        <w:tc>
          <w:tcPr>
            <w:tcW w:type="dxa" w:w="10166"/>
            <w:shd w:fill="E9F7F5"/>
            <w:tcBorders>
              <w:top w:val="single" w:sz="4" w:color="D9E0E6"/>
              <w:left w:val="single" w:sz="18" w:color="0D9488"/>
              <w:bottom w:val="single" w:sz="4" w:color="D9E0E6"/>
              <w:right w:val="single" w:sz="4" w:color="D9E0E6"/>
            </w:tcBorders>
            <w:tcMar>
              <w:top w:w="140" w:type="dxa"/>
              <w:start w:w="180" w:type="dxa"/>
              <w:bottom w:w="140" w:type="dxa"/>
              <w:end w:w="180" w:type="dxa"/>
            </w:tcMar>
          </w:tcPr>
          <w:p>
            <w:pPr>
              <w:jc w:val="right"/>
              <w:bidi w:val="1"/>
            </w:pPr>
            <w:r>
              <w:rPr>
                <w:b/>
                <w:color w:val="0D9488"/>
                <w:rtl w:val="1"/>
              </w:rPr>
              <w:t>התשובה לבקשה שלך</w:t>
            </w:r>
          </w:p>
          <w:p>
            <w:pPr>
              <w:jc w:val="right"/>
              <w:bidi w:val="1"/>
            </w:pPr>
            <w:r>
              <w:rPr>
                <w:rtl w:val="1"/>
              </w:rPr>
              <w:t>המערכת לא אמורה “לתקן” כל תוף שנוגן עקום. היא אמורה לזהות את ה־musical template, ואז לייצר ממנו Style repeatable. לכן microtiming אינו משמש כדי לבחור Variation/Cluster.</w:t>
            </w:r>
          </w:p>
        </w:tc>
      </w:tr>
    </w:tbl>
    <w:p/>
    <w:p>
      <w:pPr>
        <w:pStyle w:val="Heading1"/>
        <w:jc w:val="right"/>
        <w:bidi w:val="1"/>
        <w:keepNext/>
      </w:pPr>
      <w:r>
        <w:rPr>
          <w:rtl w:val="1"/>
        </w:rPr>
        <w:t>46. Pattern Fingerprint</w:t>
      </w:r>
    </w:p>
    <w:tbl>
      <w:tblPr>
        <w:tblW w:type="auto" w:w="0"/>
        <w:jc w:val="center"/>
        <w:tblLook w:firstColumn="1" w:firstRow="1" w:lastColumn="0" w:lastRow="0" w:noHBand="0" w:noVBand="1" w:val="04A0"/>
      </w:tblPr>
      <w:tblGrid>
        <w:gridCol w:w="5083"/>
        <w:gridCol w:w="5083"/>
      </w:tblGrid>
      <w:tr>
        <w:trPr>
          <w:tblHeader w:val="true"/>
        </w:trPr>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Feature</w:t>
            </w:r>
          </w:p>
        </w:tc>
        <w:tc>
          <w:tcPr>
            <w:tcW w:type="dxa" w:w="734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דוגמה</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Position mask</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Kick/Snare/HH per 1/16</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Density</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events per bar</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Accent structure</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strong/weak positions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Syncopation</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off-beat activity</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Velocity histogram</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p10/p50/p90</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Instrument set</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Kick + Snare + HH + Crash</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Ending activity</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last beat / last half-beat density</w:t>
            </w:r>
          </w:p>
        </w:tc>
      </w:tr>
    </w:tbl>
    <w:p/>
    <w:p>
      <w:pPr>
        <w:pStyle w:val="Heading1"/>
        <w:jc w:val="right"/>
        <w:bidi w:val="1"/>
        <w:keepNext/>
      </w:pPr>
      <w:r>
        <w:rPr>
          <w:rtl w:val="1"/>
        </w:rPr>
        <w:t>47. Variation Assignment</w:t>
      </w:r>
    </w:p>
    <w:p>
      <w:pPr>
        <w:pStyle w:val="BodyText"/>
        <w:jc w:val="right"/>
        <w:bidi w:val="1"/>
      </w:pPr>
      <w:r>
        <w:rPr>
          <w:rtl w:val="1"/>
        </w:rPr>
        <w:t>המערכת בוחרת Patterns שמייצגים את השיר ומשתמשת בתפקידים שונים: Variation 1 = base, Variation 2 = denser/alternative, Variation 3 = contrast, Variation 4 = climax/maximum complexity. אלה roles, לא דירוג “הכי טוב”. ב־MVP מתחילים ב־1–2.</w:t>
      </w:r>
    </w:p>
    <w:p>
      <w:pPr>
        <w:pStyle w:val="Heading1"/>
        <w:jc w:val="right"/>
        <w:bidi w:val="1"/>
        <w:keepNext/>
      </w:pPr>
      <w:r>
        <w:rPr>
          <w:rtl w:val="1"/>
        </w:rPr>
        <w:t>48. Fill Detection</w:t>
      </w:r>
    </w:p>
    <w:p>
      <w:pPr>
        <w:pStyle w:val="CodeBlock"/>
        <w:jc w:val="left"/>
        <w:bidi w:val="0"/>
      </w:pPr>
      <w:r>
        <w:rPr>
          <w:rFonts w:ascii="DejaVu Sans Mono" w:hAnsi="DejaVu Sans Mono" w:cs="DejaVu Sans Mono"/>
          <w:rtl w:val="0"/>
        </w:rPr>
        <w:t>TransitionScore =</w:t>
        <w:br/>
        <w:t xml:space="preserve">    phrase_boundary</w:t>
        <w:br/>
        <w:t xml:space="preserve">  + structural_change</w:t>
        <w:br/>
        <w:t xml:space="preserve">  + density_change</w:t>
        <w:br/>
        <w:t xml:space="preserve">  + instrument_change</w:t>
        <w:br/>
        <w:t xml:space="preserve">  + last_beat_activity</w:t>
        <w:br/>
        <w:t xml:space="preserve">  + local_repeat_difference</w:t>
      </w:r>
    </w:p>
    <w:p>
      <w:pPr>
        <w:pStyle w:val="Heading1"/>
        <w:jc w:val="right"/>
        <w:bidi w:val="1"/>
        <w:keepNext/>
      </w:pPr>
      <w:r>
        <w:rPr>
          <w:rtl w:val="1"/>
        </w:rPr>
        <w:t>49. Intro / Ending</w:t>
      </w:r>
    </w:p>
    <w:p>
      <w:pPr>
        <w:pStyle w:val="BodyText"/>
        <w:jc w:val="right"/>
        <w:bidi w:val="1"/>
      </w:pPr>
      <w:r>
        <w:rPr>
          <w:rtl w:val="1"/>
        </w:rPr>
        <w:t>Intro ו־Ending נשענים על זיהוי phrase boundaries וסיום/כניסה מוסיקליים. כאשר אין candidate ישיר, אפשר ליצור derived/synthesized version, אבל ה־report מסמן זאת בבירור.</w:t>
      </w:r>
    </w:p>
    <w:p>
      <w:pPr>
        <w:pStyle w:val="Heading1"/>
        <w:jc w:val="right"/>
        <w:bidi w:val="1"/>
        <w:keepNext/>
      </w:pPr>
      <w:r>
        <w:rPr>
          <w:rtl w:val="1"/>
        </w:rPr>
        <w:t>50. Remapping Resolver</w:t>
      </w:r>
    </w:p>
    <w:p>
      <w:pPr>
        <w:pStyle w:val="CodeBlock"/>
        <w:jc w:val="left"/>
        <w:bidi w:val="0"/>
      </w:pPr>
      <w:r>
        <w:rPr>
          <w:rFonts w:ascii="DejaVu Sans Mono" w:hAnsi="DejaVu Sans Mono" w:cs="DejaVu Sans Mono"/>
          <w:rtl w:val="0"/>
        </w:rPr>
        <w:t>source event:</w:t>
        <w:br/>
        <w:t xml:space="preserve">    semantic = KICK</w:t>
        <w:br/>
        <w:t xml:space="preserve">    velocity = 105</w:t>
        <w:br/>
        <w:br/>
        <w:t>resolver:</w:t>
        <w:br/>
        <w:t xml:space="preserve">    find target DrumKit</w:t>
        <w:br/>
        <w:t xml:space="preserve">    find compatible Key(s)</w:t>
        <w:br/>
        <w:t xml:space="preserve">    choose target note</w:t>
        <w:br/>
        <w:t xml:space="preserve">    preserve velocity</w:t>
        <w:br/>
        <w:t xml:space="preserve">    attach mapping evidence</w:t>
      </w:r>
    </w:p>
    <w:p>
      <w:pPr>
        <w:pStyle w:val="Heading1"/>
        <w:jc w:val="right"/>
        <w:bidi w:val="1"/>
        <w:keepNext/>
      </w:pPr>
      <w:r>
        <w:rPr>
          <w:rtl w:val="1"/>
        </w:rPr>
        <w:t>51. Fallback Policy</w:t>
      </w:r>
    </w:p>
    <w:p>
      <w:pPr>
        <w:pStyle w:val="NumberedList"/>
        <w:jc w:val="right"/>
        <w:bidi w:val="1"/>
      </w:pPr>
      <w:r>
        <w:rPr>
          <w:rtl w:val="1"/>
        </w:rPr>
        <w:t>Exact semantic match</w:t>
      </w:r>
    </w:p>
    <w:p>
      <w:pPr>
        <w:pStyle w:val="NumberedList"/>
        <w:jc w:val="right"/>
        <w:bidi w:val="1"/>
      </w:pPr>
      <w:r>
        <w:rPr>
          <w:rtl w:val="1"/>
        </w:rPr>
        <w:t>Compatible match תחת policy</w:t>
      </w:r>
    </w:p>
    <w:p>
      <w:pPr>
        <w:pStyle w:val="NumberedList"/>
        <w:jc w:val="right"/>
        <w:bidi w:val="1"/>
      </w:pPr>
      <w:r>
        <w:rPr>
          <w:rtl w:val="1"/>
        </w:rPr>
        <w:t>User-selected target</w:t>
      </w:r>
    </w:p>
    <w:p>
      <w:pPr>
        <w:pStyle w:val="NumberedList"/>
        <w:jc w:val="right"/>
        <w:bidi w:val="1"/>
      </w:pPr>
      <w:r>
        <w:rPr>
          <w:rtl w:val="1"/>
        </w:rPr>
        <w:t>Mute + warning</w:t>
      </w:r>
    </w:p>
    <w:p>
      <w:pPr>
        <w:pStyle w:val="BodyText"/>
        <w:jc w:val="right"/>
        <w:bidi w:val="1"/>
      </w:pPr>
      <w:r>
        <w:rPr>
          <w:rtl w:val="1"/>
        </w:rPr>
        <w:t>אין לבצע Ride Bell→Crash או Snare→Clap רק כדי “שיהיה משהו”. ההמרה חייבת להיות policy-based ובעלת evidence.</w:t>
      </w:r>
    </w:p>
    <w:p>
      <w:pPr>
        <w:pStyle w:val="Heading1"/>
        <w:jc w:val="right"/>
        <w:bidi w:val="1"/>
        <w:keepNext/>
      </w:pPr>
      <w:r>
        <w:rPr>
          <w:rtl w:val="1"/>
        </w:rPr>
        <w:t>52. Stage D Acceptance</w:t>
      </w:r>
    </w:p>
    <w:tbl>
      <w:tblPr>
        <w:tblW w:type="auto" w:w="0"/>
        <w:jc w:val="center"/>
        <w:tblLook w:firstColumn="1" w:firstRow="1" w:lastColumn="0" w:lastRow="0" w:noHBand="0" w:noVBand="1" w:val="04A0"/>
      </w:tblPr>
      <w:tblGrid>
        <w:gridCol w:w="5083"/>
        <w:gridCol w:w="5083"/>
      </w:tblGrid>
      <w:tr>
        <w:trPr>
          <w:tblHeader w:val="true"/>
        </w:trPr>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Check</w:t>
            </w:r>
          </w:p>
        </w:tc>
        <w:tc>
          <w:tcPr>
            <w:tcW w:type="dxa" w:w="734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PASS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Tempo</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validated or REVIEW_REQUIRED</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Bars</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stable boundaries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Canonicalization</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same motif stays same cluster despite microtiming</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Quantization</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grid is explicit and reproducible</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Remapping</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100% of emitted target notes are valid against chosen map</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Unresolved events</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review/mute, never silent remap</w:t>
            </w:r>
          </w:p>
        </w:tc>
      </w:tr>
    </w:tbl>
    <w:p/>
    <w:p>
      <w:pPr>
        <w:pStyle w:val="Heading1"/>
        <w:jc w:val="right"/>
        <w:bidi w:val="1"/>
        <w:keepNext/>
        <w:pageBreakBefore/>
      </w:pPr>
      <w:r>
        <w:rPr>
          <w:rtl w:val="1"/>
        </w:rPr>
        <w:t>חלק IX — Stage E: Style Building + User Interface</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53. MIDI → STY אינו Copy/Paste</w:t>
      </w:r>
    </w:p>
    <w:p>
      <w:pPr>
        <w:pStyle w:val="BodyText"/>
        <w:jc w:val="right"/>
        <w:bidi w:val="1"/>
      </w:pPr>
      <w:r>
        <w:rPr>
          <w:rtl w:val="1"/>
        </w:rPr>
        <w:t>זהו תיקון מרכזי. MIDI מיושר הוא input ל־Style Compiler, לא הקובץ הסופי. ה־Compiler חייב להכניס את ה־Pattern אל Style Element/CV/Track structure, להגדיר metadata ומקורות, לשמור את ההפרדה בין PatternData ל־StylePerformance, ולכתוב Native STY.</w:t>
      </w:r>
    </w:p>
    <w:p>
      <w:pPr>
        <w:pStyle w:val="Heading1"/>
        <w:jc w:val="right"/>
        <w:bidi w:val="1"/>
        <w:keepNext/>
      </w:pPr>
      <w:r>
        <w:rPr>
          <w:rtl w:val="1"/>
        </w:rPr>
        <w:t>54. Style Compiler Pipeline</w:t>
      </w:r>
    </w:p>
    <w:p>
      <w:pPr>
        <w:pStyle w:val="CodeBlock"/>
        <w:jc w:val="left"/>
        <w:bidi w:val="0"/>
      </w:pPr>
      <w:r>
        <w:rPr>
          <w:rFonts w:ascii="DejaVu Sans Mono" w:hAnsi="DejaVu Sans Mono" w:cs="DejaVu Sans Mono"/>
          <w:rtl w:val="0"/>
        </w:rPr>
        <w:t>CanonicalPatternModel</w:t>
        <w:br/>
        <w:t>+</w:t>
        <w:br/>
        <w:t>StructureModel</w:t>
        <w:br/>
        <w:t>+</w:t>
        <w:br/>
        <w:t>MappingModel</w:t>
        <w:br/>
        <w:t>+</w:t>
        <w:br/>
        <w:t>Pa600Profile</w:t>
        <w:br/>
        <w:t>+</w:t>
        <w:br/>
        <w:t>ResourceRefs</w:t>
        <w:br/>
        <w:t xml:space="preserve">        ↓</w:t>
        <w:br/>
        <w:t xml:space="preserve">    CompilePlan</w:t>
        <w:br/>
        <w:t xml:space="preserve">        ↓</w:t>
        <w:br/>
        <w:t xml:space="preserve">   Static Checks</w:t>
        <w:br/>
        <w:t xml:space="preserve">        ↓</w:t>
        <w:br/>
        <w:t xml:space="preserve"> Native STY Writer</w:t>
        <w:br/>
        <w:t xml:space="preserve">        ↓</w:t>
        <w:br/>
        <w:t xml:space="preserve">   Parse Again</w:t>
        <w:br/>
        <w:t xml:space="preserve">        ↓</w:t>
        <w:br/>
        <w:t>Semantic Validation</w:t>
        <w:br/>
        <w:t xml:space="preserve">        ↓</w:t>
        <w:br/>
        <w:t>Hardware QA (release)</w:t>
      </w:r>
    </w:p>
    <w:p>
      <w:pPr>
        <w:pStyle w:val="Heading1"/>
        <w:jc w:val="right"/>
        <w:bidi w:val="1"/>
        <w:keepNext/>
      </w:pPr>
      <w:r>
        <w:rPr>
          <w:rtl w:val="1"/>
        </w:rPr>
        <w:t>55. MVP Style Scope</w:t>
      </w:r>
    </w:p>
    <w:tbl>
      <w:tblPr>
        <w:tblW w:type="auto" w:w="0"/>
        <w:jc w:val="center"/>
        <w:tblLook w:firstColumn="1" w:firstRow="1" w:lastColumn="0" w:lastRow="0" w:noHBand="0" w:noVBand="1" w:val="04A0"/>
      </w:tblPr>
      <w:tblGrid>
        <w:gridCol w:w="5083"/>
        <w:gridCol w:w="5083"/>
      </w:tblGrid>
      <w:tr>
        <w:trPr>
          <w:tblHeader w:val="true"/>
        </w:trPr>
        <w:tc>
          <w:tcPr>
            <w:tcW w:type="dxa" w:w="460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Capability</w:t>
            </w:r>
          </w:p>
        </w:tc>
        <w:tc>
          <w:tcPr>
            <w:tcW w:type="dxa" w:w="561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MVP</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DRUM</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כן</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PERC</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כן</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Variation 1</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כן</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Variation 2</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כן</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Fill 1</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כן</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Intro 1</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כן</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Ending 1</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כן</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Variation 3/4</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לא חובה</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Fill 2–4</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לא חובה</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Intro 2/3</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לא חובה</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Break</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לא חובה</w:t>
            </w:r>
          </w:p>
        </w:tc>
      </w:tr>
      <w:tr>
        <w:tc>
          <w:tcPr>
            <w:tcW w:type="dxa" w:w="460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Bass/ACC1–5</w:t>
            </w:r>
          </w:p>
        </w:tc>
        <w:tc>
          <w:tcPr>
            <w:tcW w:type="dxa" w:w="561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לא חובה / Phase 2</w:t>
            </w:r>
          </w:p>
        </w:tc>
      </w:tr>
    </w:tbl>
    <w:p/>
    <w:p>
      <w:pPr>
        <w:pStyle w:val="Heading1"/>
        <w:jc w:val="right"/>
        <w:bidi w:val="1"/>
        <w:keepNext/>
      </w:pPr>
      <w:r>
        <w:rPr>
          <w:rtl w:val="1"/>
        </w:rPr>
        <w:t>56. CompilePlan</w:t>
      </w:r>
    </w:p>
    <w:p>
      <w:pPr>
        <w:pStyle w:val="CodeBlock"/>
        <w:jc w:val="left"/>
        <w:bidi w:val="0"/>
      </w:pPr>
      <w:r>
        <w:rPr>
          <w:rFonts w:ascii="DejaVu Sans Mono" w:hAnsi="DejaVu Sans Mono" w:cs="DejaVu Sans Mono"/>
          <w:rtl w:val="0"/>
        </w:rPr>
        <w:t>CompilePlan</w:t>
        <w:br/>
        <w:t>├── target_profile</w:t>
        <w:br/>
        <w:t>├── source_model_versions</w:t>
        <w:br/>
        <w:t>├── style_elements</w:t>
        <w:br/>
        <w:t>├── CV allocation</w:t>
        <w:br/>
        <w:t>├── track allocation</w:t>
        <w:br/>
        <w:t>├── resource references</w:t>
        <w:br/>
        <w:t>├── mapping decisions</w:t>
        <w:br/>
        <w:t>├── transformations</w:t>
        <w:br/>
        <w:t>├── unsupported features</w:t>
        <w:br/>
        <w:t>└── acceptance tests</w:t>
      </w:r>
    </w:p>
    <w:p>
      <w:pPr>
        <w:pStyle w:val="BodyText"/>
        <w:jc w:val="right"/>
        <w:bidi w:val="1"/>
      </w:pPr>
      <w:r>
        <w:rPr>
          <w:rtl w:val="1"/>
        </w:rPr>
        <w:t>ה־CompilePlan הוא snapshot של מה שהמערכת עומדת לעשות. הוא קיים לפני artifact, ולכן אפשר להציג אותו ב־Review או לשמור אותו ל־Debug.</w:t>
      </w:r>
    </w:p>
    <w:p>
      <w:pPr>
        <w:pStyle w:val="Heading1"/>
        <w:jc w:val="right"/>
        <w:bidi w:val="1"/>
        <w:keepNext/>
      </w:pPr>
      <w:r>
        <w:rPr>
          <w:rtl w:val="1"/>
        </w:rPr>
        <w:t>57. Native STY Validation</w:t>
      </w:r>
    </w:p>
    <w:tbl>
      <w:tblPr>
        <w:tblW w:type="auto" w:w="0"/>
        <w:jc w:val="center"/>
        <w:tblLook w:firstColumn="1" w:firstRow="1" w:lastColumn="0" w:lastRow="0" w:noHBand="0" w:noVBand="1" w:val="04A0"/>
      </w:tblPr>
      <w:tblGrid>
        <w:gridCol w:w="5083"/>
        <w:gridCol w:w="5083"/>
      </w:tblGrid>
      <w:tr>
        <w:trPr>
          <w:tblHeader w:val="true"/>
        </w:trPr>
        <w:tc>
          <w:tcPr>
            <w:tcW w:type="dxa" w:w="201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Layer</w:t>
            </w:r>
          </w:p>
        </w:tc>
        <w:tc>
          <w:tcPr>
            <w:tcW w:type="dxa" w:w="820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Validation</w:t>
            </w:r>
          </w:p>
        </w:tc>
      </w:tr>
      <w:tr>
        <w:tc>
          <w:tcPr>
            <w:tcW w:type="dxa" w:w="201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Binary</w:t>
            </w:r>
          </w:p>
        </w:tc>
        <w:tc>
          <w:tcPr>
            <w:tcW w:type="dxa" w:w="82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Header/length/offset/reference constraints</w:t>
            </w:r>
          </w:p>
        </w:tc>
      </w:tr>
      <w:tr>
        <w:tc>
          <w:tcPr>
            <w:tcW w:type="dxa" w:w="201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Semantic</w:t>
            </w:r>
          </w:p>
        </w:tc>
        <w:tc>
          <w:tcPr>
            <w:tcW w:type="dxa" w:w="82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Model after reparse equals expected</w:t>
            </w:r>
          </w:p>
        </w:tc>
      </w:tr>
      <w:tr>
        <w:tc>
          <w:tcPr>
            <w:tcW w:type="dxa" w:w="201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w:t>
            </w:r>
          </w:p>
        </w:tc>
        <w:tc>
          <w:tcPr>
            <w:tcW w:type="dxa" w:w="82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Elements/CVs/tracks internally consistent</w:t>
            </w:r>
          </w:p>
        </w:tc>
      </w:tr>
      <w:tr>
        <w:tc>
          <w:tcPr>
            <w:tcW w:type="dxa" w:w="201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Mapping</w:t>
            </w:r>
          </w:p>
        </w:tc>
        <w:tc>
          <w:tcPr>
            <w:tcW w:type="dxa" w:w="82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Target notes valid</w:t>
            </w:r>
          </w:p>
        </w:tc>
      </w:tr>
      <w:tr>
        <w:tc>
          <w:tcPr>
            <w:tcW w:type="dxa" w:w="201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Resources</w:t>
            </w:r>
          </w:p>
        </w:tc>
        <w:tc>
          <w:tcPr>
            <w:tcW w:type="dxa" w:w="82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References resolve</w:t>
            </w:r>
          </w:p>
        </w:tc>
      </w:tr>
      <w:tr>
        <w:tc>
          <w:tcPr>
            <w:tcW w:type="dxa" w:w="201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Unknown</w:t>
            </w:r>
          </w:p>
        </w:tc>
        <w:tc>
          <w:tcPr>
            <w:tcW w:type="dxa" w:w="82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Preserved according to policy</w:t>
            </w:r>
          </w:p>
        </w:tc>
      </w:tr>
      <w:tr>
        <w:tc>
          <w:tcPr>
            <w:tcW w:type="dxa" w:w="201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Profile</w:t>
            </w:r>
          </w:p>
        </w:tc>
        <w:tc>
          <w:tcPr>
            <w:tcW w:type="dxa" w:w="82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Pa600 profile compatible</w:t>
            </w:r>
          </w:p>
        </w:tc>
      </w:tr>
    </w:tbl>
    <w:p/>
    <w:p>
      <w:pPr>
        <w:pStyle w:val="Heading1"/>
        <w:jc w:val="right"/>
        <w:bidi w:val="1"/>
        <w:keepNext/>
      </w:pPr>
      <w:r>
        <w:rPr>
          <w:rtl w:val="1"/>
        </w:rPr>
        <w:t>58. UI — חמשת השלבים כפי שהמשתמש רואה</w:t>
      </w:r>
    </w:p>
    <w:p>
      <w:pPr>
        <w:pStyle w:val="CodeBlock"/>
        <w:jc w:val="left"/>
        <w:bidi w:val="0"/>
      </w:pPr>
      <w:r>
        <w:rPr>
          <w:rFonts w:ascii="DejaVu Sans Mono" w:hAnsi="DejaVu Sans Mono" w:cs="DejaVu Sans Mono"/>
          <w:rtl w:val="0"/>
        </w:rPr>
        <w:t>01  הדגימות שלך</w:t>
        <w:br/>
        <w:t xml:space="preserve">    Upload SET / Review sample map</w:t>
        <w:br/>
        <w:br/>
        <w:t>02  ניתוח השיר</w:t>
        <w:br/>
        <w:t xml:space="preserve">    Upload Audio / Paste approved URL</w:t>
        <w:br/>
        <w:br/>
        <w:t>03  פענוח התופים</w:t>
        <w:br/>
        <w:t xml:space="preserve">    Drum stem + event preview</w:t>
        <w:br/>
        <w:br/>
        <w:t>04  יישור ומיפוי</w:t>
        <w:br/>
        <w:t xml:space="preserve">    Grid + Groove + Mapping review</w:t>
        <w:br/>
        <w:br/>
        <w:t>05  בניית Style</w:t>
        <w:br/>
        <w:t xml:space="preserve">    Preview + Edit + Download STY/SET</w:t>
      </w:r>
    </w:p>
    <w:p>
      <w:pPr>
        <w:pStyle w:val="Heading1"/>
        <w:jc w:val="right"/>
        <w:bidi w:val="1"/>
        <w:keepNext/>
      </w:pPr>
      <w:r>
        <w:rPr>
          <w:rtl w:val="1"/>
        </w:rPr>
        <w:t>59. Preview</w:t>
      </w:r>
    </w:p>
    <w:p>
      <w:pPr>
        <w:pStyle w:val="BodyText"/>
        <w:jc w:val="right"/>
        <w:bidi w:val="1"/>
      </w:pPr>
      <w:r>
        <w:rPr>
          <w:rtl w:val="1"/>
        </w:rPr>
        <w:t>ה־Preview צריך להציג pattern timeline, grid, event density, velocity and sample labels. Audio preview יכול להיות synthesized from the user samples, אבל חייב להיות מסומן כ־Software Preview, לא “כך בדיוק נשמע Pa600”.</w:t>
      </w:r>
    </w:p>
    <w:tbl>
      <w:tblPr>
        <w:tblW w:type="auto" w:w="0"/>
        <w:jc w:val="center"/>
        <w:tblLook w:firstColumn="1" w:firstRow="1" w:lastColumn="0" w:lastRow="0" w:noHBand="0" w:noVBand="1" w:val="04A0"/>
      </w:tblPr>
      <w:tblGrid>
        <w:gridCol w:w="10166"/>
      </w:tblGrid>
      <w:tr>
        <w:trPr>
          <w:tblHeader w:val="true"/>
        </w:trPr>
        <w:tc>
          <w:tcPr>
            <w:tcW w:type="dxa" w:w="10166"/>
            <w:shd w:fill="FFF6DF"/>
            <w:tcBorders>
              <w:top w:val="single" w:sz="4" w:color="D9E0E6"/>
              <w:left w:val="single" w:sz="18" w:color="C98917"/>
              <w:bottom w:val="single" w:sz="4" w:color="D9E0E6"/>
              <w:right w:val="single" w:sz="4" w:color="D9E0E6"/>
            </w:tcBorders>
            <w:tcMar>
              <w:top w:w="140" w:type="dxa"/>
              <w:start w:w="180" w:type="dxa"/>
              <w:bottom w:w="140" w:type="dxa"/>
              <w:end w:w="180" w:type="dxa"/>
            </w:tcMar>
          </w:tcPr>
          <w:p>
            <w:pPr>
              <w:jc w:val="right"/>
              <w:bidi w:val="1"/>
            </w:pPr>
            <w:r>
              <w:rPr>
                <w:b/>
                <w:color w:val="C98917"/>
                <w:rtl w:val="1"/>
              </w:rPr>
              <w:t>Preview ≠ Hardware</w:t>
            </w:r>
          </w:p>
          <w:p>
            <w:pPr>
              <w:jc w:val="right"/>
              <w:bidi w:val="1"/>
            </w:pPr>
            <w:r>
              <w:rPr>
                <w:rtl w:val="1"/>
              </w:rPr>
              <w:t>תוצאת rendering במחשב היא אינדיקציה. רק Pa600 QA מאשר שה־STY נטען ומתנהג נכון על החומרה.</w:t>
            </w:r>
          </w:p>
        </w:tc>
      </w:tr>
    </w:tbl>
    <w:p/>
    <w:p>
      <w:pPr>
        <w:pStyle w:val="Heading1"/>
        <w:jc w:val="right"/>
        <w:bidi w:val="1"/>
        <w:keepNext/>
      </w:pPr>
      <w:r>
        <w:rPr>
          <w:rtl w:val="1"/>
        </w:rPr>
        <w:t>60. Chat / LLM</w:t>
      </w:r>
    </w:p>
    <w:p>
      <w:pPr>
        <w:pStyle w:val="CodeBlock"/>
        <w:jc w:val="left"/>
        <w:bidi w:val="0"/>
      </w:pPr>
      <w:r>
        <w:rPr>
          <w:rFonts w:ascii="DejaVu Sans Mono" w:hAnsi="DejaVu Sans Mono" w:cs="DejaVu Sans Mono"/>
          <w:rtl w:val="0"/>
        </w:rPr>
        <w:t>User:</w:t>
        <w:br/>
        <w:t>"תחזק את הסנר ב-Fill 1"</w:t>
        <w:br/>
        <w:br/>
        <w:t>LLM:</w:t>
        <w:br/>
        <w:t>{</w:t>
        <w:br/>
        <w:t xml:space="preserve">  "action": "modify_velocity",</w:t>
        <w:br/>
        <w:t xml:space="preserve">  "target": {"element": "Fill1", "instrument": "SNARE_HEAD"},</w:t>
        <w:br/>
        <w:t xml:space="preserve">  "parameters": {"mode": "relative", "amount": 0.15}</w:t>
        <w:br/>
        <w:t>}</w:t>
        <w:br/>
        <w:br/>
        <w:t>↓</w:t>
        <w:br/>
        <w:t>JSON Schema</w:t>
        <w:br/>
        <w:t>↓</w:t>
        <w:br/>
        <w:t>Permission</w:t>
        <w:br/>
        <w:t>↓</w:t>
        <w:br/>
        <w:t>Domain Validation</w:t>
        <w:br/>
        <w:t>↓</w:t>
        <w:br/>
        <w:t>Deterministic Edit</w:t>
        <w:br/>
        <w:t>↓</w:t>
        <w:br/>
        <w:t>Recompile</w:t>
      </w:r>
    </w:p>
    <w:p>
      <w:pPr>
        <w:pStyle w:val="BodyText"/>
        <w:jc w:val="right"/>
        <w:bidi w:val="1"/>
      </w:pPr>
      <w:r>
        <w:rPr>
          <w:rtl w:val="1"/>
        </w:rPr>
        <w:t>ה־LLM הוא ממשק שפה, לא מנוע Korg. הוא אינו עורך STY bytes, SET bytes או Unknown chunks.</w:t>
      </w:r>
    </w:p>
    <w:p>
      <w:pPr>
        <w:pStyle w:val="Heading1"/>
        <w:jc w:val="right"/>
        <w:bidi w:val="1"/>
        <w:keepNext/>
      </w:pPr>
      <w:r>
        <w:rPr>
          <w:rtl w:val="1"/>
        </w:rPr>
        <w:t>61. AI Control Plane</w:t>
      </w:r>
    </w:p>
    <w:p>
      <w:pPr>
        <w:pStyle w:val="BodyText"/>
        <w:jc w:val="right"/>
        <w:bidi w:val="1"/>
      </w:pPr>
      <w:r>
        <w:rPr>
          <w:rtl w:val="1"/>
        </w:rPr>
        <w:t>כדי לענות בדיוק על הדרישה “מערכת AI שתשלוט על המערכת”, M2S כולל AI Orchestrator שאחראי על routing: האם להשתמש ב־MIDI path, separation path, direct ADT, alternative backend, re-run או Human Review. הוא פועל לפי Capability Registry, confidence thresholds ו־policies. ה־LLM עצמו הוא רק אחד מה־frontends של control plane.</w:t>
      </w:r>
    </w:p>
    <w:p>
      <w:pPr>
        <w:pStyle w:val="CodeBlock"/>
        <w:jc w:val="left"/>
        <w:bidi w:val="0"/>
      </w:pPr>
      <w:r>
        <w:rPr>
          <w:rFonts w:ascii="DejaVu Sans Mono" w:hAnsi="DejaVu Sans Mono" w:cs="DejaVu Sans Mono"/>
          <w:rtl w:val="0"/>
        </w:rPr>
        <w:t>AI Control Plane</w:t>
        <w:br/>
        <w:t>├── backend selection</w:t>
        <w:br/>
        <w:t>├── confidence routing</w:t>
        <w:br/>
        <w:t>├── retry / fallback</w:t>
        <w:br/>
        <w:t>├── structural analysis</w:t>
        <w:br/>
        <w:t>├── candidate ranking</w:t>
        <w:br/>
        <w:t>├── human-review escalation</w:t>
        <w:br/>
        <w:t>└── audit log</w:t>
        <w:br/>
        <w:br/>
        <w:t>Deterministic Core</w:t>
        <w:br/>
        <w:t>├── musical transforms</w:t>
        <w:br/>
        <w:t>├── resource mapping</w:t>
        <w:br/>
        <w:t>├── compiler</w:t>
        <w:br/>
        <w:t>└── native writer</w:t>
      </w:r>
    </w:p>
    <w:p>
      <w:pPr>
        <w:pStyle w:val="Heading1"/>
        <w:jc w:val="right"/>
        <w:bidi w:val="1"/>
        <w:keepNext/>
        <w:pageBreakBefore/>
      </w:pPr>
      <w:r>
        <w:rPr>
          <w:rtl w:val="1"/>
        </w:rPr>
        <w:t>חלק X — SET Packaging + Resource Safety</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62. מתי צריך SET מלא</w:t>
      </w:r>
    </w:p>
    <w:p>
      <w:pPr>
        <w:pStyle w:val="BodyText"/>
        <w:jc w:val="right"/>
        <w:bidi w:val="1"/>
      </w:pPr>
      <w:r>
        <w:rPr>
          <w:rtl w:val="1"/>
        </w:rPr>
        <w:t>STY יכול לעבוד כשה־Target SET כבר מכיל את Sound/DrumKit resources שאליהם הוא מפנה. כאשר M2S יוצר/מייבא custom resources שצריכים להיות חלק מהartifact, צריך Minimal SET או Complete SET. לכן Output Contract מפריד בין Style file לבין resource package.</w:t>
      </w:r>
    </w:p>
    <w:p>
      <w:pPr>
        <w:pStyle w:val="Heading1"/>
        <w:jc w:val="right"/>
        <w:bidi w:val="1"/>
        <w:keepNext/>
      </w:pPr>
      <w:r>
        <w:rPr>
          <w:rtl w:val="1"/>
        </w:rPr>
        <w:t>63. Dependency Graph</w:t>
      </w:r>
    </w:p>
    <w:p>
      <w:pPr>
        <w:pStyle w:val="CodeBlock"/>
        <w:jc w:val="left"/>
        <w:bidi w:val="0"/>
      </w:pPr>
      <w:r>
        <w:rPr>
          <w:rFonts w:ascii="DejaVu Sans Mono" w:hAnsi="DejaVu Sans Mono" w:cs="DejaVu Sans Mono"/>
          <w:rtl w:val="0"/>
        </w:rPr>
        <w:t>Style</w:t>
        <w:br/>
        <w:t xml:space="preserve"> └─&gt; Track</w:t>
        <w:br/>
        <w:t xml:space="preserve">      └─&gt; Sound / DrumKit</w:t>
        <w:br/>
        <w:t xml:space="preserve">           └─&gt; PCM resource</w:t>
        <w:br/>
        <w:t xml:space="preserve">                ├─&gt; KMP / mapping</w:t>
        <w:br/>
        <w:t xml:space="preserve">                └─&gt; KSF / sample</w:t>
      </w:r>
    </w:p>
    <w:p>
      <w:pPr>
        <w:pStyle w:val="Heading1"/>
        <w:jc w:val="right"/>
        <w:bidi w:val="1"/>
        <w:keepNext/>
      </w:pPr>
      <w:r>
        <w:rPr>
          <w:rtl w:val="1"/>
        </w:rPr>
        <w:t>64. Dry Run / Allocation Plan</w:t>
      </w:r>
    </w:p>
    <w:p>
      <w:pPr>
        <w:pStyle w:val="CodeBlock"/>
        <w:jc w:val="left"/>
        <w:bidi w:val="0"/>
      </w:pPr>
      <w:r>
        <w:rPr>
          <w:rFonts w:ascii="DejaVu Sans Mono" w:hAnsi="DejaVu Sans Mono" w:cs="DejaVu Sans Mono"/>
          <w:rtl w:val="0"/>
        </w:rPr>
        <w:t>Dependency Graph</w:t>
        <w:br/>
        <w:t>↓</w:t>
        <w:br/>
        <w:t>Collision Detection</w:t>
        <w:br/>
        <w:t>↓</w:t>
        <w:br/>
        <w:t>Deduplication</w:t>
        <w:br/>
        <w:t>↓</w:t>
        <w:br/>
        <w:t>Allocation Plan</w:t>
        <w:br/>
        <w:t>↓</w:t>
        <w:br/>
        <w:t>Review</w:t>
        <w:br/>
        <w:t>↓</w:t>
        <w:br/>
        <w:t>Write</w:t>
        <w:br/>
        <w:t>↓</w:t>
        <w:br/>
        <w:t>Validate</w:t>
      </w:r>
    </w:p>
    <w:tbl>
      <w:tblPr>
        <w:tblW w:type="auto" w:w="0"/>
        <w:jc w:val="center"/>
        <w:tblLook w:firstColumn="1" w:firstRow="1" w:lastColumn="0" w:lastRow="0" w:noHBand="0" w:noVBand="1" w:val="04A0"/>
      </w:tblPr>
      <w:tblGrid>
        <w:gridCol w:w="5083"/>
        <w:gridCol w:w="5083"/>
      </w:tblGrid>
      <w:tr>
        <w:trPr>
          <w:tblHeader w:val="true"/>
        </w:trPr>
        <w:tc>
          <w:tcPr>
            <w:tcW w:type="dxa" w:w="316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Resource</w:t>
            </w:r>
          </w:p>
        </w:tc>
        <w:tc>
          <w:tcPr>
            <w:tcW w:type="dxa" w:w="705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Action example</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Existing identical Sample</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REUSE</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New Sample</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ALLOCATE_NEW</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Conflicting occupied slot</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MANUAL_REVIEW</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Equivalent mapping</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REUSE if canonical hash matches</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Unknown dependency</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BLOCK</w:t>
            </w:r>
          </w:p>
        </w:tc>
      </w:tr>
    </w:tbl>
    <w:p/>
    <w:p>
      <w:pPr>
        <w:pStyle w:val="Heading1"/>
        <w:jc w:val="right"/>
        <w:bidi w:val="1"/>
        <w:keepNext/>
      </w:pPr>
      <w:r>
        <w:rPr>
          <w:rtl w:val="1"/>
        </w:rPr>
        <w:t>65. Hash Domains</w:t>
      </w:r>
    </w:p>
    <w:p>
      <w:pPr>
        <w:pStyle w:val="CodeBlock"/>
        <w:jc w:val="left"/>
        <w:bidi w:val="0"/>
      </w:pPr>
      <w:r>
        <w:rPr>
          <w:rFonts w:ascii="DejaVu Sans Mono" w:hAnsi="DejaVu Sans Mono" w:cs="DejaVu Sans Mono"/>
          <w:rtl w:val="0"/>
        </w:rPr>
        <w:t>SampleContentHash</w:t>
        <w:br/>
        <w:t>MultisampleMappingHash</w:t>
        <w:br/>
        <w:t>SoundDefinitionHash</w:t>
        <w:br/>
        <w:t>DrumKitDefinitionHash</w:t>
        <w:br/>
        <w:t>StylePatternHash</w:t>
        <w:br/>
        <w:t>StylePerformanceHash</w:t>
      </w:r>
    </w:p>
    <w:p>
      <w:pPr>
        <w:pStyle w:val="BodyText"/>
        <w:jc w:val="right"/>
        <w:bidi w:val="1"/>
      </w:pPr>
      <w:r>
        <w:rPr>
          <w:rtl w:val="1"/>
        </w:rPr>
        <w:t>Filename לעולם אינו Resource Identity. שני filenames שונים יכולים להיות אותו content; filename זהה בתוך contexts שונים לא מוכיח זהות.</w:t>
      </w:r>
    </w:p>
    <w:p>
      <w:pPr>
        <w:pStyle w:val="Heading1"/>
        <w:jc w:val="right"/>
        <w:bidi w:val="1"/>
        <w:keepNext/>
      </w:pPr>
      <w:r>
        <w:rPr>
          <w:rtl w:val="1"/>
        </w:rPr>
        <w:t>66. Transactional Build</w:t>
      </w:r>
    </w:p>
    <w:p>
      <w:pPr>
        <w:pStyle w:val="CodeBlock"/>
        <w:jc w:val="left"/>
        <w:bidi w:val="0"/>
      </w:pPr>
      <w:r>
        <w:rPr>
          <w:rFonts w:ascii="DejaVu Sans Mono" w:hAnsi="DejaVu Sans Mono" w:cs="DejaVu Sans Mono"/>
          <w:rtl w:val="0"/>
        </w:rPr>
        <w:t>temp workspace</w:t>
        <w:br/>
        <w:t xml:space="preserve">   ↓ compile</w:t>
        <w:br/>
        <w:t xml:space="preserve">   ↓ validate</w:t>
        <w:br/>
        <w:t xml:space="preserve">   ↓ hash</w:t>
        <w:br/>
        <w:t xml:space="preserve">   ↓ manifest</w:t>
        <w:br/>
        <w:t xml:space="preserve">   ↓ atomic publish</w:t>
        <w:br/>
        <w:br/>
        <w:t>failure:</w:t>
        <w:br/>
        <w:t xml:space="preserve">   ↓ discard incomplete artifact</w:t>
        <w:br/>
        <w:t xml:space="preserve">   ↓ preserve diagnostic bundle</w:t>
      </w:r>
    </w:p>
    <w:p>
      <w:pPr>
        <w:pStyle w:val="Heading1"/>
        <w:jc w:val="right"/>
        <w:bidi w:val="1"/>
        <w:keepNext/>
      </w:pPr>
      <w:r>
        <w:rPr>
          <w:rtl w:val="1"/>
        </w:rPr>
        <w:t>67. Source SET Protection</w:t>
      </w:r>
    </w:p>
    <w:tbl>
      <w:tblPr>
        <w:tblW w:type="auto" w:w="0"/>
        <w:jc w:val="center"/>
        <w:tblLook w:firstColumn="1" w:firstRow="1" w:lastColumn="0" w:lastRow="0" w:noHBand="0" w:noVBand="1" w:val="04A0"/>
      </w:tblPr>
      <w:tblGrid>
        <w:gridCol w:w="10166"/>
      </w:tblGrid>
      <w:tr>
        <w:trPr>
          <w:tblHeader w:val="true"/>
        </w:trPr>
        <w:tc>
          <w:tcPr>
            <w:tcW w:type="dxa" w:w="10166"/>
            <w:shd w:fill="FFF0EE"/>
            <w:tcBorders>
              <w:top w:val="single" w:sz="4" w:color="D9E0E6"/>
              <w:left w:val="single" w:sz="18" w:color="B42318"/>
              <w:bottom w:val="single" w:sz="4" w:color="D9E0E6"/>
              <w:right w:val="single" w:sz="4" w:color="D9E0E6"/>
            </w:tcBorders>
            <w:tcMar>
              <w:top w:w="140" w:type="dxa"/>
              <w:start w:w="180" w:type="dxa"/>
              <w:bottom w:w="140" w:type="dxa"/>
              <w:end w:w="180" w:type="dxa"/>
            </w:tcMar>
          </w:tcPr>
          <w:p>
            <w:pPr>
              <w:jc w:val="right"/>
              <w:bidi w:val="1"/>
            </w:pPr>
            <w:r>
              <w:rPr>
                <w:b/>
                <w:color w:val="B42318"/>
                <w:rtl w:val="1"/>
              </w:rPr>
              <w:t>Never silently replace unrelated user data</w:t>
            </w:r>
          </w:p>
          <w:p>
            <w:pPr>
              <w:jc w:val="right"/>
              <w:bidi w:val="1"/>
            </w:pPr>
            <w:r>
              <w:rPr>
                <w:rtl w:val="1"/>
              </w:rPr>
              <w:t>M2S לעולם אינו משנה את ה־SET המקורי. הוא קורא אותו, בונה Plan, יוצר copy/derived resources ומפרסם artifact חדש.</w:t>
            </w:r>
          </w:p>
        </w:tc>
      </w:tr>
    </w:tbl>
    <w:p/>
    <w:p>
      <w:pPr>
        <w:pStyle w:val="Heading1"/>
        <w:jc w:val="right"/>
        <w:bidi w:val="1"/>
        <w:keepNext/>
      </w:pPr>
      <w:r>
        <w:rPr>
          <w:rtl w:val="1"/>
        </w:rPr>
        <w:t>68. Clean Environment Test</w:t>
      </w:r>
    </w:p>
    <w:p>
      <w:pPr>
        <w:pStyle w:val="BodyText"/>
        <w:jc w:val="right"/>
        <w:bidi w:val="1"/>
      </w:pPr>
      <w:r>
        <w:rPr>
          <w:rtl w:val="1"/>
        </w:rPr>
        <w:t>Generated SET נבדק בסביבת QA שאינה תלויה ב־source SET. בנוסף, Hardware Test נעשה על מדיה/מצב מגובה משום שפעולות טעינת/כתיבת resources על Pa600 עלולות להשפיע על User PCM data.</w:t>
      </w:r>
    </w:p>
    <w:p>
      <w:pPr>
        <w:pStyle w:val="Heading1"/>
        <w:jc w:val="right"/>
        <w:bidi w:val="1"/>
        <w:keepNext/>
        <w:pageBreakBefore/>
      </w:pPr>
      <w:r>
        <w:rPr>
          <w:rtl w:val="1"/>
        </w:rPr>
        <w:t>חלק XI — Web, Jobs, Performance, Security</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69. Job State Machine</w:t>
      </w:r>
    </w:p>
    <w:p>
      <w:pPr>
        <w:pStyle w:val="CodeBlock"/>
        <w:jc w:val="left"/>
        <w:bidi w:val="0"/>
      </w:pPr>
      <w:r>
        <w:rPr>
          <w:rFonts w:ascii="DejaVu Sans Mono" w:hAnsi="DejaVu Sans Mono" w:cs="DejaVu Sans Mono"/>
          <w:rtl w:val="0"/>
        </w:rPr>
        <w:t>CREATED</w:t>
        <w:br/>
        <w:t xml:space="preserve">  ↓</w:t>
        <w:br/>
        <w:t>QUEUED</w:t>
        <w:br/>
        <w:t xml:space="preserve">  ↓</w:t>
        <w:br/>
        <w:t>RUNNING</w:t>
        <w:br/>
        <w:t xml:space="preserve">  ├─ stage A</w:t>
        <w:br/>
        <w:t xml:space="preserve">  ├─ stage B</w:t>
        <w:br/>
        <w:t xml:space="preserve">  ├─ stage C</w:t>
        <w:br/>
        <w:t xml:space="preserve">  ├─ stage D</w:t>
        <w:br/>
        <w:t xml:space="preserve">  └─ stage E</w:t>
        <w:br/>
        <w:t xml:space="preserve">  ↓</w:t>
        <w:br/>
        <w:t>VALIDATING</w:t>
        <w:br/>
        <w:t xml:space="preserve">  ↓</w:t>
        <w:br/>
        <w:t>COMPLETED</w:t>
        <w:br/>
        <w:br/>
        <w:t>Error:</w:t>
        <w:br/>
        <w:t>RUNNING → FAILED</w:t>
        <w:br/>
        <w:t xml:space="preserve">                 ↓</w:t>
        <w:br/>
        <w:t xml:space="preserve">             RETRYABLE / BLOCKED</w:t>
      </w:r>
    </w:p>
    <w:p>
      <w:pPr>
        <w:pStyle w:val="Heading1"/>
        <w:jc w:val="right"/>
        <w:bidi w:val="1"/>
        <w:keepNext/>
      </w:pPr>
      <w:r>
        <w:rPr>
          <w:rtl w:val="1"/>
        </w:rPr>
        <w:t>70. Job Contract</w:t>
      </w:r>
    </w:p>
    <w:p>
      <w:pPr>
        <w:pStyle w:val="CodeBlock"/>
        <w:jc w:val="left"/>
        <w:bidi w:val="0"/>
      </w:pPr>
      <w:r>
        <w:rPr>
          <w:rFonts w:ascii="DejaVu Sans Mono" w:hAnsi="DejaVu Sans Mono" w:cs="DejaVu Sans Mono"/>
          <w:rtl w:val="0"/>
        </w:rPr>
        <w:t>{</w:t>
        <w:br/>
        <w:t xml:space="preserve">  "job_id": "...",</w:t>
        <w:br/>
        <w:t xml:space="preserve">  "status": "RUNNING",</w:t>
        <w:br/>
        <w:t xml:space="preserve">  "stage": "PATTERN_ANALYSIS",</w:t>
        <w:br/>
        <w:t xml:space="preserve">  "progress": 62,</w:t>
        <w:br/>
        <w:t xml:space="preserve">  "warnings": [],</w:t>
        <w:br/>
        <w:t xml:space="preserve">  "errors": [],</w:t>
        <w:br/>
        <w:t xml:space="preserve">  "artifact_ids": []</w:t>
        <w:br/>
        <w:t>}</w:t>
      </w:r>
    </w:p>
    <w:p>
      <w:pPr>
        <w:pStyle w:val="Heading1"/>
        <w:jc w:val="right"/>
        <w:bidi w:val="1"/>
        <w:keepNext/>
      </w:pPr>
      <w:r>
        <w:rPr>
          <w:rtl w:val="1"/>
        </w:rPr>
        <w:t>71. Cache Strategy</w:t>
      </w:r>
    </w:p>
    <w:p>
      <w:pPr>
        <w:pStyle w:val="BodyText"/>
        <w:jc w:val="right"/>
        <w:bidi w:val="1"/>
      </w:pPr>
      <w:r>
        <w:rPr>
          <w:rtl w:val="1"/>
        </w:rPr>
        <w:t>Stage A הוא מועמד אידיאלי ל־cache כי אותו SET יכול לשמש הרבה Songs. Cache key: SET manifest hash + profile version + decoder version. Stage B/C cache יכול להישמר לפי input hash + backend/model hash/config.</w:t>
      </w:r>
    </w:p>
    <w:p>
      <w:pPr>
        <w:pStyle w:val="Heading1"/>
        <w:jc w:val="right"/>
        <w:bidi w:val="1"/>
        <w:keepNext/>
      </w:pPr>
      <w:r>
        <w:rPr>
          <w:rtl w:val="1"/>
        </w:rPr>
        <w:t>72. Performance Target</w:t>
      </w:r>
    </w:p>
    <w:tbl>
      <w:tblPr>
        <w:tblW w:type="auto" w:w="0"/>
        <w:jc w:val="center"/>
        <w:tblLook w:firstColumn="1" w:firstRow="1" w:lastColumn="0" w:lastRow="0" w:noHBand="0" w:noVBand="1" w:val="04A0"/>
      </w:tblPr>
      <w:tblGrid>
        <w:gridCol w:w="10166"/>
      </w:tblGrid>
      <w:tr>
        <w:trPr>
          <w:tblHeader w:val="true"/>
        </w:trPr>
        <w:tc>
          <w:tcPr>
            <w:tcW w:type="dxa" w:w="10166"/>
            <w:shd w:fill="EAF3FB"/>
            <w:tcBorders>
              <w:top w:val="single" w:sz="4" w:color="D9E0E6"/>
              <w:left w:val="single" w:sz="18" w:color="2E6FBB"/>
              <w:bottom w:val="single" w:sz="4" w:color="D9E0E6"/>
              <w:right w:val="single" w:sz="4" w:color="D9E0E6"/>
            </w:tcBorders>
            <w:tcMar>
              <w:top w:w="140" w:type="dxa"/>
              <w:start w:w="180" w:type="dxa"/>
              <w:bottom w:w="140" w:type="dxa"/>
              <w:end w:w="180" w:type="dxa"/>
            </w:tcMar>
          </w:tcPr>
          <w:p>
            <w:pPr>
              <w:jc w:val="right"/>
              <w:bidi w:val="1"/>
            </w:pPr>
            <w:r>
              <w:rPr>
                <w:b/>
                <w:color w:val="2E6FBB"/>
                <w:rtl w:val="1"/>
              </w:rPr>
              <w:t>יעד ביצועים הוא Target, לא הבטחה</w:t>
            </w:r>
          </w:p>
          <w:p>
            <w:pPr>
              <w:jc w:val="right"/>
              <w:bidi w:val="1"/>
            </w:pPr>
            <w:r>
              <w:rPr>
                <w:rtl w:val="1"/>
              </w:rPr>
              <w:t>המוצר ישאף ל־P50 של עד בערך 1.5× זמן השיר ו־P95 של עד 3× על reference hardware שהוגדר מראש, אחרי ש־Stage A כבר cached. יש למדוד ולאשר את היעדים לפני הצהרה מסחרית.</w:t>
            </w:r>
          </w:p>
        </w:tc>
      </w:tr>
    </w:tbl>
    <w:p/>
    <w:p>
      <w:pPr>
        <w:pStyle w:val="Heading1"/>
        <w:jc w:val="right"/>
        <w:bidi w:val="1"/>
        <w:keepNext/>
      </w:pPr>
      <w:r>
        <w:rPr>
          <w:rtl w:val="1"/>
        </w:rPr>
        <w:t>73. Security</w:t>
      </w:r>
    </w:p>
    <w:p>
      <w:pPr>
        <w:pStyle w:val="BulletList"/>
        <w:jc w:val="right"/>
        <w:bidi w:val="1"/>
      </w:pPr>
      <w:r>
        <w:rPr>
          <w:rtl w:val="1"/>
        </w:rPr>
        <w:t>Path traversal protection ו־symlink rejection.</w:t>
      </w:r>
    </w:p>
    <w:p>
      <w:pPr>
        <w:pStyle w:val="BulletList"/>
        <w:jc w:val="right"/>
        <w:bidi w:val="1"/>
      </w:pPr>
      <w:r>
        <w:rPr>
          <w:rtl w:val="1"/>
        </w:rPr>
        <w:t>Archive bomb limits, maximum file size ו־maximum extraction size.</w:t>
      </w:r>
    </w:p>
    <w:p>
      <w:pPr>
        <w:pStyle w:val="BulletList"/>
        <w:jc w:val="right"/>
        <w:bidi w:val="1"/>
      </w:pPr>
      <w:r>
        <w:rPr>
          <w:rtl w:val="1"/>
        </w:rPr>
        <w:t>Atomic output, no overwrite of source files.</w:t>
      </w:r>
    </w:p>
    <w:p>
      <w:pPr>
        <w:pStyle w:val="BulletList"/>
        <w:jc w:val="right"/>
        <w:bidi w:val="1"/>
      </w:pPr>
      <w:r>
        <w:rPr>
          <w:rtl w:val="1"/>
        </w:rPr>
        <w:t>Parser hardening נגד malformed length/offset/EOF/oversized allocations.</w:t>
      </w:r>
    </w:p>
    <w:p>
      <w:pPr>
        <w:pStyle w:val="BulletList"/>
        <w:jc w:val="right"/>
        <w:bidi w:val="1"/>
      </w:pPr>
      <w:r>
        <w:rPr>
          <w:rtl w:val="1"/>
        </w:rPr>
        <w:t>No execution of files מתוך SET.</w:t>
      </w:r>
    </w:p>
    <w:p>
      <w:pPr>
        <w:pStyle w:val="BulletList"/>
        <w:jc w:val="right"/>
        <w:bidi w:val="1"/>
      </w:pPr>
      <w:r>
        <w:rPr>
          <w:rtl w:val="1"/>
        </w:rPr>
        <w:t>Temporary workspace isolation.</w:t>
      </w:r>
    </w:p>
    <w:p>
      <w:pPr>
        <w:pStyle w:val="BulletList"/>
        <w:jc w:val="right"/>
        <w:bidi w:val="1"/>
      </w:pPr>
      <w:r>
        <w:rPr>
          <w:rtl w:val="1"/>
        </w:rPr>
        <w:t>Log redaction — אין לרשום raw user media לתוך logs.</w:t>
      </w:r>
    </w:p>
    <w:p>
      <w:pPr>
        <w:pStyle w:val="Heading1"/>
        <w:jc w:val="right"/>
        <w:bidi w:val="1"/>
        <w:keepNext/>
      </w:pPr>
      <w:r>
        <w:rPr>
          <w:rtl w:val="1"/>
        </w:rPr>
        <w:t>74. Privacy / Retention</w:t>
      </w:r>
    </w:p>
    <w:p>
      <w:pPr>
        <w:pStyle w:val="BodyText"/>
        <w:jc w:val="right"/>
        <w:bidi w:val="1"/>
      </w:pPr>
      <w:r>
        <w:rPr>
          <w:rtl w:val="1"/>
        </w:rPr>
        <w:t>ברירת המחדל היא retention מינימלי. Raw Audio, SET ו־derived stems לא נשמרים מעבר למדיניות שהמוצר מצהיר עליה. Manifest ו־metrics נשמרים בנפרד ואינם חייבים לכלול את המדיה עצמה.</w:t>
      </w:r>
    </w:p>
    <w:p>
      <w:pPr>
        <w:pStyle w:val="Heading1"/>
        <w:jc w:val="right"/>
        <w:bidi w:val="1"/>
        <w:keepNext/>
        <w:pageBreakBefore/>
      </w:pPr>
      <w:r>
        <w:rPr>
          <w:rtl w:val="1"/>
        </w:rPr>
        <w:t>חלק XII — QA, Metrics, Hardware Certification</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75. Test Pyramid</w:t>
      </w:r>
    </w:p>
    <w:p>
      <w:pPr>
        <w:pStyle w:val="CodeBlock"/>
        <w:jc w:val="left"/>
        <w:bidi w:val="0"/>
      </w:pPr>
      <w:r>
        <w:rPr>
          <w:rFonts w:ascii="DejaVu Sans Mono" w:hAnsi="DejaVu Sans Mono" w:cs="DejaVu Sans Mono"/>
          <w:rtl w:val="0"/>
        </w:rPr>
        <w:t xml:space="preserve">                 Hardware</w:t>
        <w:br/>
        <w:t xml:space="preserve">                /                   Golden          E2E</w:t>
        <w:br/>
        <w:t xml:space="preserve">          /      \        /       Integration   Property  Security</w:t>
        <w:br/>
        <w:t xml:space="preserve">       /        Unit   Parser Fuzz</w:t>
      </w:r>
    </w:p>
    <w:p>
      <w:pPr>
        <w:pStyle w:val="Heading1"/>
        <w:jc w:val="right"/>
        <w:bidi w:val="1"/>
        <w:keepNext/>
      </w:pPr>
      <w:r>
        <w:rPr>
          <w:rtl w:val="1"/>
        </w:rPr>
        <w:t>76. Hardware Certification Levels</w:t>
      </w:r>
    </w:p>
    <w:tbl>
      <w:tblPr>
        <w:tblW w:type="auto" w:w="0"/>
        <w:jc w:val="center"/>
        <w:tblLook w:firstColumn="1" w:firstRow="1" w:lastColumn="0" w:lastRow="0" w:noHBand="0" w:noVBand="1" w:val="04A0"/>
      </w:tblPr>
      <w:tblGrid>
        <w:gridCol w:w="5083"/>
        <w:gridCol w:w="5083"/>
      </w:tblGrid>
      <w:tr>
        <w:trPr>
          <w:tblHeader w:val="true"/>
        </w:trPr>
        <w:tc>
          <w:tcPr>
            <w:tcW w:type="dxa" w:w="172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Level</w:t>
            </w:r>
          </w:p>
        </w:tc>
        <w:tc>
          <w:tcPr>
            <w:tcW w:type="dxa" w:w="849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מה הוכח</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H0</w:t>
            </w:r>
          </w:p>
        </w:tc>
        <w:tc>
          <w:tcPr>
            <w:tcW w:type="dxa" w:w="849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Parser/codec tests בלבד</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H1</w:t>
            </w:r>
          </w:p>
        </w:tc>
        <w:tc>
          <w:tcPr>
            <w:tcW w:type="dxa" w:w="849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Writer + static validation</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H2</w:t>
            </w:r>
          </w:p>
        </w:tc>
        <w:tc>
          <w:tcPr>
            <w:tcW w:type="dxa" w:w="849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Pa600 Load PASS</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H3</w:t>
            </w:r>
          </w:p>
        </w:tc>
        <w:tc>
          <w:tcPr>
            <w:tcW w:type="dxa" w:w="849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Playback + Save/Reload PASS</w:t>
            </w:r>
          </w:p>
        </w:tc>
      </w:tr>
      <w:tr>
        <w:tc>
          <w:tcPr>
            <w:tcW w:type="dxa" w:w="172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H4</w:t>
            </w:r>
          </w:p>
        </w:tc>
        <w:tc>
          <w:tcPr>
            <w:tcW w:type="dxa" w:w="849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Clean environment + resource independence + regression</w:t>
            </w:r>
          </w:p>
        </w:tc>
      </w:tr>
    </w:tbl>
    <w:p/>
    <w:p>
      <w:pPr>
        <w:pStyle w:val="Heading1"/>
        <w:jc w:val="right"/>
        <w:bidi w:val="1"/>
        <w:keepNext/>
      </w:pPr>
      <w:r>
        <w:rPr>
          <w:rtl w:val="1"/>
        </w:rPr>
        <w:t>77. Audio Metrics</w:t>
      </w:r>
    </w:p>
    <w:p>
      <w:pPr>
        <w:pStyle w:val="BulletList"/>
        <w:jc w:val="right"/>
        <w:bidi w:val="1"/>
      </w:pPr>
      <w:r>
        <w:rPr>
          <w:rtl w:val="1"/>
        </w:rPr>
        <w:t>Precision / Recall / F1</w:t>
      </w:r>
    </w:p>
    <w:p>
      <w:pPr>
        <w:pStyle w:val="BulletList"/>
        <w:jc w:val="right"/>
        <w:bidi w:val="1"/>
      </w:pPr>
      <w:r>
        <w:rPr>
          <w:rtl w:val="1"/>
        </w:rPr>
        <w:t>Onset error</w:t>
      </w:r>
    </w:p>
    <w:p>
      <w:pPr>
        <w:pStyle w:val="BulletList"/>
        <w:jc w:val="right"/>
        <w:bidi w:val="1"/>
      </w:pPr>
      <w:r>
        <w:rPr>
          <w:rtl w:val="1"/>
        </w:rPr>
        <w:t>Velocity MAE/RMSE</w:t>
      </w:r>
    </w:p>
    <w:p>
      <w:pPr>
        <w:pStyle w:val="BulletList"/>
        <w:jc w:val="right"/>
        <w:bidi w:val="1"/>
      </w:pPr>
      <w:r>
        <w:rPr>
          <w:rtl w:val="1"/>
        </w:rPr>
        <w:t>False Positive Rate</w:t>
      </w:r>
    </w:p>
    <w:p>
      <w:pPr>
        <w:pStyle w:val="BulletList"/>
        <w:jc w:val="right"/>
        <w:bidi w:val="1"/>
      </w:pPr>
      <w:r>
        <w:rPr>
          <w:rtl w:val="1"/>
        </w:rPr>
        <w:t>Calibration Error / ECE</w:t>
      </w:r>
    </w:p>
    <w:p>
      <w:pPr>
        <w:pStyle w:val="Heading1"/>
        <w:jc w:val="right"/>
        <w:bidi w:val="1"/>
        <w:keepNext/>
      </w:pPr>
      <w:r>
        <w:rPr>
          <w:rtl w:val="1"/>
        </w:rPr>
        <w:t>78. Musical Metrics</w:t>
      </w:r>
    </w:p>
    <w:p>
      <w:pPr>
        <w:pStyle w:val="BulletList"/>
        <w:jc w:val="right"/>
        <w:bidi w:val="1"/>
      </w:pPr>
      <w:r>
        <w:rPr>
          <w:rtl w:val="1"/>
        </w:rPr>
        <w:t>BPM accuracy</w:t>
      </w:r>
    </w:p>
    <w:p>
      <w:pPr>
        <w:pStyle w:val="BulletList"/>
        <w:jc w:val="right"/>
        <w:bidi w:val="1"/>
      </w:pPr>
      <w:r>
        <w:rPr>
          <w:rtl w:val="1"/>
        </w:rPr>
        <w:t>Downbeat accuracy</w:t>
      </w:r>
    </w:p>
    <w:p>
      <w:pPr>
        <w:pStyle w:val="BulletList"/>
        <w:jc w:val="right"/>
        <w:bidi w:val="1"/>
      </w:pPr>
      <w:r>
        <w:rPr>
          <w:rtl w:val="1"/>
        </w:rPr>
        <w:t>Bar boundary accuracy</w:t>
      </w:r>
    </w:p>
    <w:p>
      <w:pPr>
        <w:pStyle w:val="BulletList"/>
        <w:jc w:val="right"/>
        <w:bidi w:val="1"/>
      </w:pPr>
      <w:r>
        <w:rPr>
          <w:rtl w:val="1"/>
        </w:rPr>
        <w:t>Pattern stability</w:t>
      </w:r>
    </w:p>
    <w:p>
      <w:pPr>
        <w:pStyle w:val="BulletList"/>
        <w:jc w:val="right"/>
        <w:bidi w:val="1"/>
      </w:pPr>
      <w:r>
        <w:rPr>
          <w:rtl w:val="1"/>
        </w:rPr>
        <w:t>Cluster separation</w:t>
      </w:r>
    </w:p>
    <w:p>
      <w:pPr>
        <w:pStyle w:val="BulletList"/>
        <w:jc w:val="right"/>
        <w:bidi w:val="1"/>
      </w:pPr>
      <w:r>
        <w:rPr>
          <w:rtl w:val="1"/>
        </w:rPr>
        <w:t>Fill boundary accuracy</w:t>
      </w:r>
    </w:p>
    <w:p>
      <w:pPr>
        <w:pStyle w:val="Heading1"/>
        <w:jc w:val="right"/>
        <w:bidi w:val="1"/>
        <w:keepNext/>
      </w:pPr>
      <w:r>
        <w:rPr>
          <w:rtl w:val="1"/>
        </w:rPr>
        <w:t>79. Korg Metrics</w:t>
      </w:r>
    </w:p>
    <w:tbl>
      <w:tblPr>
        <w:tblW w:type="auto" w:w="0"/>
        <w:jc w:val="center"/>
        <w:tblLook w:firstColumn="1" w:firstRow="1" w:lastColumn="0" w:lastRow="0" w:noHBand="0" w:noVBand="1" w:val="04A0"/>
      </w:tblPr>
      <w:tblGrid>
        <w:gridCol w:w="5083"/>
        <w:gridCol w:w="5083"/>
      </w:tblGrid>
      <w:tr>
        <w:trPr>
          <w:tblHeader w:val="true"/>
        </w:trPr>
        <w:tc>
          <w:tcPr>
            <w:tcW w:type="dxa" w:w="360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Metric</w:t>
            </w:r>
          </w:p>
        </w:tc>
        <w:tc>
          <w:tcPr>
            <w:tcW w:type="dxa" w:w="662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Acceptance</w:t>
            </w:r>
          </w:p>
        </w:tc>
      </w:tr>
      <w:tr>
        <w:tc>
          <w:tcPr>
            <w:tcW w:type="dxa" w:w="360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Parser</w:t>
            </w:r>
          </w:p>
        </w:tc>
        <w:tc>
          <w:tcPr>
            <w:tcW w:type="dxa" w:w="66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PASS</w:t>
            </w:r>
          </w:p>
        </w:tc>
      </w:tr>
      <w:tr>
        <w:tc>
          <w:tcPr>
            <w:tcW w:type="dxa" w:w="360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Semantic Round Trip</w:t>
            </w:r>
          </w:p>
        </w:tc>
        <w:tc>
          <w:tcPr>
            <w:tcW w:type="dxa" w:w="66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PASS</w:t>
            </w:r>
          </w:p>
        </w:tc>
      </w:tr>
      <w:tr>
        <w:tc>
          <w:tcPr>
            <w:tcW w:type="dxa" w:w="360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Static STY validation</w:t>
            </w:r>
          </w:p>
        </w:tc>
        <w:tc>
          <w:tcPr>
            <w:tcW w:type="dxa" w:w="66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PASS</w:t>
            </w:r>
          </w:p>
        </w:tc>
      </w:tr>
      <w:tr>
        <w:tc>
          <w:tcPr>
            <w:tcW w:type="dxa" w:w="360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Hardware Load</w:t>
            </w:r>
          </w:p>
        </w:tc>
        <w:tc>
          <w:tcPr>
            <w:tcW w:type="dxa" w:w="66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PASS</w:t>
            </w:r>
          </w:p>
        </w:tc>
      </w:tr>
      <w:tr>
        <w:tc>
          <w:tcPr>
            <w:tcW w:type="dxa" w:w="360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Required playback</w:t>
            </w:r>
          </w:p>
        </w:tc>
        <w:tc>
          <w:tcPr>
            <w:tcW w:type="dxa" w:w="66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PASS</w:t>
            </w:r>
          </w:p>
        </w:tc>
      </w:tr>
      <w:tr>
        <w:tc>
          <w:tcPr>
            <w:tcW w:type="dxa" w:w="360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Save/Reload</w:t>
            </w:r>
          </w:p>
        </w:tc>
        <w:tc>
          <w:tcPr>
            <w:tcW w:type="dxa" w:w="66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PASS</w:t>
            </w:r>
          </w:p>
        </w:tc>
      </w:tr>
      <w:tr>
        <w:tc>
          <w:tcPr>
            <w:tcW w:type="dxa" w:w="360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 Dependency Integrity</w:t>
            </w:r>
          </w:p>
        </w:tc>
        <w:tc>
          <w:tcPr>
            <w:tcW w:type="dxa" w:w="66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PASS if SET shipped</w:t>
            </w:r>
          </w:p>
        </w:tc>
      </w:tr>
      <w:tr>
        <w:tc>
          <w:tcPr>
            <w:tcW w:type="dxa" w:w="360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Clean environment</w:t>
            </w:r>
          </w:p>
        </w:tc>
        <w:tc>
          <w:tcPr>
            <w:tcW w:type="dxa" w:w="662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PASS if portable artifact shipped</w:t>
            </w:r>
          </w:p>
        </w:tc>
      </w:tr>
    </w:tbl>
    <w:p/>
    <w:p>
      <w:pPr>
        <w:pStyle w:val="Heading1"/>
        <w:jc w:val="right"/>
        <w:bidi w:val="1"/>
        <w:keepNext/>
      </w:pPr>
      <w:r>
        <w:rPr>
          <w:rtl w:val="1"/>
        </w:rPr>
        <w:t>80. Golden Regression</w:t>
      </w:r>
    </w:p>
    <w:p>
      <w:pPr>
        <w:pStyle w:val="BodyText"/>
        <w:jc w:val="right"/>
        <w:bidi w:val="1"/>
      </w:pPr>
      <w:r>
        <w:rPr>
          <w:rtl w:val="1"/>
        </w:rPr>
        <w:t>כל release מריץ מחדש את Golden Corpus. שינוי Writer או Model version ללא re-baseline מתועד כ־regression until proven otherwise.</w:t>
      </w:r>
    </w:p>
    <w:p>
      <w:pPr>
        <w:pStyle w:val="Heading1"/>
        <w:jc w:val="right"/>
        <w:bidi w:val="1"/>
        <w:keepNext/>
      </w:pPr>
      <w:r>
        <w:rPr>
          <w:rtl w:val="1"/>
        </w:rPr>
        <w:t>81. Property/Fuzz Tests</w:t>
      </w:r>
    </w:p>
    <w:p>
      <w:pPr>
        <w:pStyle w:val="BodyText"/>
        <w:jc w:val="right"/>
        <w:bidi w:val="1"/>
      </w:pPr>
      <w:r>
        <w:rPr>
          <w:rtl w:val="1"/>
        </w:rPr>
        <w:t>Binary parsers נבדקים מול קבצים חתוכים, length fields שגויים, offsets invalid, unknown chunk insertion, malformed variable-length values ו־extreme event counts. Acceptance הוא לא crash, לא memory abuse ולא silent corruption.</w:t>
      </w:r>
    </w:p>
    <w:p>
      <w:pPr>
        <w:pStyle w:val="Heading1"/>
        <w:jc w:val="right"/>
        <w:bidi w:val="1"/>
        <w:keepNext/>
      </w:pPr>
      <w:r>
        <w:rPr>
          <w:rtl w:val="1"/>
        </w:rPr>
        <w:t>82. Hardware Test Protocol</w:t>
      </w:r>
    </w:p>
    <w:p>
      <w:pPr>
        <w:pStyle w:val="CodeBlock"/>
        <w:jc w:val="left"/>
        <w:bidi w:val="0"/>
      </w:pPr>
      <w:r>
        <w:rPr>
          <w:rFonts w:ascii="DejaVu Sans Mono" w:hAnsi="DejaVu Sans Mono" w:cs="DejaVu Sans Mono"/>
          <w:rtl w:val="0"/>
        </w:rPr>
        <w:t>1. Backup QA environment</w:t>
        <w:br/>
        <w:t>2. Record Pa600 OS</w:t>
        <w:br/>
        <w:t>3. Load artifact</w:t>
        <w:br/>
        <w:t>4. Test required Style Elements</w:t>
        <w:br/>
        <w:t>5. Trigger Variations</w:t>
        <w:br/>
        <w:t>6. Trigger Fill/Intro/Ending</w:t>
        <w:br/>
        <w:t>7. Save</w:t>
        <w:br/>
        <w:t>8. Reload</w:t>
        <w:br/>
        <w:t>9. Compare</w:t>
        <w:br/>
        <w:t>10. Record evidence + hashes</w:t>
      </w:r>
    </w:p>
    <w:p>
      <w:pPr>
        <w:pStyle w:val="Heading1"/>
        <w:jc w:val="right"/>
        <w:bidi w:val="1"/>
        <w:keepNext/>
        <w:pageBreakBefore/>
      </w:pPr>
      <w:r>
        <w:rPr>
          <w:rtl w:val="1"/>
        </w:rPr>
        <w:t>חלק XIII — Governance, Evidence, Rights, Operations</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83. Provenance</w:t>
      </w:r>
    </w:p>
    <w:p>
      <w:pPr>
        <w:pStyle w:val="CodeBlock"/>
        <w:jc w:val="left"/>
        <w:bidi w:val="0"/>
      </w:pPr>
      <w:r>
        <w:rPr>
          <w:rFonts w:ascii="DejaVu Sans Mono" w:hAnsi="DejaVu Sans Mono" w:cs="DejaVu Sans Mono"/>
          <w:rtl w:val="0"/>
        </w:rPr>
        <w:t>{</w:t>
        <w:br/>
        <w:t xml:space="preserve">  "job_id": "...",</w:t>
        <w:br/>
        <w:t xml:space="preserve">  "engine_version": "...",</w:t>
        <w:br/>
        <w:t xml:space="preserve">  "schema_version": "...",</w:t>
        <w:br/>
        <w:t xml:space="preserve">  "korg_profile": "Pa600-2.1.1",</w:t>
        <w:br/>
        <w:t xml:space="preserve">  "input_sha256": "...",</w:t>
        <w:br/>
        <w:t xml:space="preserve">  "set_manifest_hash": "...",</w:t>
        <w:br/>
        <w:t xml:space="preserve">  "backend_versions": {...},</w:t>
        <w:br/>
        <w:t xml:space="preserve">  "model_hashes": {...},</w:t>
        <w:br/>
        <w:t xml:space="preserve">  "config_hash": "...",</w:t>
        <w:br/>
        <w:t xml:space="preserve">  "seed": 1234</w:t>
        <w:br/>
        <w:t>}</w:t>
      </w:r>
    </w:p>
    <w:p>
      <w:pPr>
        <w:pStyle w:val="Heading1"/>
        <w:jc w:val="right"/>
        <w:bidi w:val="1"/>
        <w:keepNext/>
      </w:pPr>
      <w:r>
        <w:rPr>
          <w:rtl w:val="1"/>
        </w:rPr>
        <w:t>84. Rights and Licensing</w:t>
      </w:r>
    </w:p>
    <w:p>
      <w:pPr>
        <w:pStyle w:val="BodyText"/>
        <w:jc w:val="right"/>
        <w:bidi w:val="1"/>
      </w:pPr>
      <w:r>
        <w:rPr>
          <w:rtl w:val="1"/>
        </w:rPr>
        <w:t>Before commercial deployment, audit every dependency, model, checkpoint and dataset-derived artifact. User Audio/MIDI and User SET resources belong to the user's rights context; M2S does not silently redistribute them. Reference media is analysis input and is not included in output by default.</w:t>
      </w:r>
    </w:p>
    <w:p>
      <w:pPr>
        <w:pStyle w:val="Heading1"/>
        <w:jc w:val="right"/>
        <w:bidi w:val="1"/>
        <w:keepNext/>
      </w:pPr>
      <w:r>
        <w:rPr>
          <w:rtl w:val="1"/>
        </w:rPr>
        <w:t>85. Model Registry</w:t>
      </w:r>
    </w:p>
    <w:tbl>
      <w:tblPr>
        <w:tblW w:type="auto" w:w="0"/>
        <w:jc w:val="center"/>
        <w:tblLook w:firstColumn="1" w:firstRow="1" w:lastColumn="0" w:lastRow="0" w:noHBand="0" w:noVBand="1" w:val="04A0"/>
      </w:tblPr>
      <w:tblGrid>
        <w:gridCol w:w="5083"/>
        <w:gridCol w:w="5083"/>
      </w:tblGrid>
      <w:tr>
        <w:trPr>
          <w:tblHeader w:val="true"/>
        </w:trPr>
        <w:tc>
          <w:tcPr>
            <w:tcW w:type="dxa" w:w="230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Backend</w:t>
            </w:r>
          </w:p>
        </w:tc>
        <w:tc>
          <w:tcPr>
            <w:tcW w:type="dxa" w:w="792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Registry fields</w:t>
            </w:r>
          </w:p>
        </w:tc>
      </w:tr>
      <w:tr>
        <w:tc>
          <w:tcPr>
            <w:tcW w:type="dxa" w:w="230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Separator</w:t>
            </w:r>
          </w:p>
        </w:tc>
        <w:tc>
          <w:tcPr>
            <w:tcW w:type="dxa" w:w="79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name, version, model hash, license, input requirements</w:t>
            </w:r>
          </w:p>
        </w:tc>
      </w:tr>
      <w:tr>
        <w:tc>
          <w:tcPr>
            <w:tcW w:type="dxa" w:w="230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ADT</w:t>
            </w:r>
          </w:p>
        </w:tc>
        <w:tc>
          <w:tcPr>
            <w:tcW w:type="dxa" w:w="79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name, version, checkpoint hash, taxonomy, benchmark</w:t>
            </w:r>
          </w:p>
        </w:tc>
      </w:tr>
      <w:tr>
        <w:tc>
          <w:tcPr>
            <w:tcW w:type="dxa" w:w="230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Beat/Structure</w:t>
            </w:r>
          </w:p>
        </w:tc>
        <w:tc>
          <w:tcPr>
            <w:tcW w:type="dxa" w:w="79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name, version, dataset note, benchmark</w:t>
            </w:r>
          </w:p>
        </w:tc>
      </w:tr>
      <w:tr>
        <w:tc>
          <w:tcPr>
            <w:tcW w:type="dxa" w:w="230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LLM</w:t>
            </w:r>
          </w:p>
        </w:tc>
        <w:tc>
          <w:tcPr>
            <w:tcW w:type="dxa" w:w="7920"/>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provider/model/version, prompt schema, allowed actions</w:t>
            </w:r>
          </w:p>
        </w:tc>
      </w:tr>
    </w:tbl>
    <w:p/>
    <w:p>
      <w:pPr>
        <w:pStyle w:val="Heading1"/>
        <w:jc w:val="right"/>
        <w:bidi w:val="1"/>
        <w:keepNext/>
      </w:pPr>
      <w:r>
        <w:rPr>
          <w:rtl w:val="1"/>
        </w:rPr>
        <w:t>86. Model Drift</w:t>
      </w:r>
    </w:p>
    <w:p>
      <w:pPr>
        <w:pStyle w:val="BodyText"/>
        <w:jc w:val="right"/>
        <w:bidi w:val="1"/>
      </w:pPr>
      <w:r>
        <w:rPr>
          <w:rtl w:val="1"/>
        </w:rPr>
        <w:t>עדכון model אינו patch שקוף. שינוי checkpoint יכול לשנות Pattern clustering או mapping. לכן model version הוא חלק מה־artifact provenance, ו־benchmark must re-run.</w:t>
      </w:r>
    </w:p>
    <w:p>
      <w:pPr>
        <w:pStyle w:val="Heading1"/>
        <w:jc w:val="right"/>
        <w:bidi w:val="1"/>
        <w:keepNext/>
      </w:pPr>
      <w:r>
        <w:rPr>
          <w:rtl w:val="1"/>
        </w:rPr>
        <w:t>87. Explainability</w:t>
      </w:r>
    </w:p>
    <w:p>
      <w:pPr>
        <w:pStyle w:val="BodyText"/>
        <w:jc w:val="right"/>
        <w:bidi w:val="1"/>
      </w:pPr>
      <w:r>
        <w:rPr>
          <w:rtl w:val="1"/>
        </w:rPr>
        <w:t>לכל Decision חשוב המשתמש יכול לראות What, Why, Confidence, Source Evidence, Override. זה נכון במיוחד ל־sample classification, fill detection ו־resource conflict.</w:t>
      </w:r>
    </w:p>
    <w:p>
      <w:pPr>
        <w:pStyle w:val="Heading1"/>
        <w:jc w:val="right"/>
        <w:bidi w:val="1"/>
        <w:keepNext/>
        <w:pageBreakBefore/>
      </w:pPr>
      <w:r>
        <w:rPr>
          <w:rtl w:val="1"/>
        </w:rPr>
        <w:t>חלק XIV — תוכנית היישום המחייבת</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88. סדר הפיתוח</w:t>
      </w:r>
    </w:p>
    <w:p>
      <w:pPr>
        <w:pStyle w:val="CodeBlock"/>
        <w:jc w:val="left"/>
        <w:bidi w:val="0"/>
      </w:pPr>
      <w:r>
        <w:rPr>
          <w:rFonts w:ascii="DejaVu Sans Mono" w:hAnsi="DejaVu Sans Mono" w:cs="DejaVu Sans Mono"/>
          <w:rtl w:val="0"/>
        </w:rPr>
        <w:t>Gate 0</w:t>
        <w:br/>
        <w:t>Environment + tests</w:t>
        <w:br/>
        <w:t xml:space="preserve">   ↓</w:t>
        <w:br/>
        <w:t>P0</w:t>
        <w:br/>
        <w:t>Korg/SET/STY reverse engineering</w:t>
        <w:br/>
        <w:t xml:space="preserve">   ↓</w:t>
        <w:br/>
        <w:t>P1</w:t>
        <w:br/>
        <w:t>Parser + Native Writer</w:t>
        <w:br/>
        <w:t xml:space="preserve">   ↓</w:t>
        <w:br/>
        <w:t>Hardware Gate</w:t>
        <w:br/>
        <w:t xml:space="preserve">   ↓</w:t>
        <w:br/>
        <w:t>Stage A</w:t>
        <w:br/>
        <w:t>SET / Sample Intelligence</w:t>
        <w:br/>
        <w:t xml:space="preserve">   ↓</w:t>
        <w:br/>
        <w:t>Stage B</w:t>
        <w:br/>
        <w:t>Separation</w:t>
        <w:br/>
        <w:t xml:space="preserve">   ↓</w:t>
        <w:br/>
        <w:t>Stage C</w:t>
        <w:br/>
        <w:t>Drum ADT</w:t>
        <w:br/>
        <w:t xml:space="preserve">   ↓</w:t>
        <w:br/>
        <w:t>Stage D</w:t>
        <w:br/>
        <w:t>Pattern Intelligence + Remapping</w:t>
        <w:br/>
        <w:t xml:space="preserve">   ↓</w:t>
        <w:br/>
        <w:t>Stage E</w:t>
        <w:br/>
        <w:t>Style Compiler + UI</w:t>
        <w:br/>
        <w:t xml:space="preserve">   ↓</w:t>
        <w:br/>
        <w:t>SET Packager</w:t>
        <w:br/>
        <w:t xml:space="preserve">   ↓</w:t>
        <w:br/>
        <w:t>LLM</w:t>
        <w:br/>
        <w:t xml:space="preserve">   ↓</w:t>
        <w:br/>
        <w:t>Advanced FX</w:t>
      </w:r>
    </w:p>
    <w:p>
      <w:pPr>
        <w:pStyle w:val="Heading1"/>
        <w:jc w:val="right"/>
        <w:bidi w:val="1"/>
        <w:keepNext/>
      </w:pPr>
      <w:r>
        <w:rPr>
          <w:rtl w:val="1"/>
        </w:rPr>
        <w:t>89. Gates</w:t>
      </w:r>
    </w:p>
    <w:tbl>
      <w:tblPr>
        <w:tblW w:type="auto" w:w="0"/>
        <w:jc w:val="center"/>
        <w:tblLook w:firstColumn="1" w:firstRow="1" w:lastColumn="0" w:lastRow="0" w:noHBand="0" w:noVBand="1" w:val="04A0"/>
      </w:tblPr>
      <w:tblGrid>
        <w:gridCol w:w="5083"/>
        <w:gridCol w:w="5083"/>
      </w:tblGrid>
      <w:tr>
        <w:trPr>
          <w:tblHeader w:val="true"/>
        </w:trPr>
        <w:tc>
          <w:tcPr>
            <w:tcW w:type="dxa" w:w="144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Gate</w:t>
            </w:r>
          </w:p>
        </w:tc>
        <w:tc>
          <w:tcPr>
            <w:tcW w:type="dxa" w:w="878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PASS כאשר</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G0</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Repository, Python, pytest, Ruff עובדים</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P0</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STY/SET מספיק מובנים כדי לבנות model + preserve unknowns</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P1</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Parser + Writer semantic round-trip PASS</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Generated STY loads/plays/saves/reloads on Pa600</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 map deterministic + sample decode/classification usable</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Separation path has quality gate + fallback</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ADT benchmark meets declared thresholds</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Canonical patterns stable; target remap 100% valid</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 compiler + UI + validation work</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Dependency graph + allocation + clean environment PASS</w:t>
            </w:r>
          </w:p>
        </w:tc>
      </w:tr>
      <w:tr>
        <w:tc>
          <w:tcPr>
            <w:tcW w:type="dxa" w:w="144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Release</w:t>
            </w:r>
          </w:p>
        </w:tc>
        <w:tc>
          <w:tcPr>
            <w:tcW w:type="dxa" w:w="878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All declared capabilities certified; none hidden as Unknown</w:t>
            </w:r>
          </w:p>
        </w:tc>
      </w:tr>
    </w:tbl>
    <w:p/>
    <w:p>
      <w:pPr>
        <w:pStyle w:val="Heading1"/>
        <w:jc w:val="right"/>
        <w:bidi w:val="1"/>
        <w:keepNext/>
      </w:pPr>
      <w:r>
        <w:rPr>
          <w:rtl w:val="1"/>
        </w:rPr>
        <w:t>90. Day 1 — פעולה מדויקת</w:t>
      </w:r>
    </w:p>
    <w:p>
      <w:pPr>
        <w:pStyle w:val="NumberedList"/>
        <w:jc w:val="right"/>
        <w:bidi w:val="1"/>
      </w:pPr>
      <w:r>
        <w:rPr>
          <w:rtl w:val="1"/>
        </w:rPr>
        <w:t>Create repository and Python environment.</w:t>
      </w:r>
    </w:p>
    <w:p>
      <w:pPr>
        <w:pStyle w:val="NumberedList"/>
        <w:jc w:val="right"/>
        <w:bidi w:val="1"/>
      </w:pPr>
      <w:r>
        <w:rPr>
          <w:rtl w:val="1"/>
        </w:rPr>
        <w:t>Enable pytest + Ruff.</w:t>
      </w:r>
    </w:p>
    <w:p>
      <w:pPr>
        <w:pStyle w:val="NumberedList"/>
        <w:jc w:val="right"/>
        <w:bidi w:val="1"/>
      </w:pPr>
      <w:r>
        <w:rPr>
          <w:rtl w:val="1"/>
        </w:rPr>
        <w:t>Obtain one real Pa600 SET and one Style from it.</w:t>
      </w:r>
    </w:p>
    <w:p>
      <w:pPr>
        <w:pStyle w:val="NumberedList"/>
        <w:jc w:val="right"/>
        <w:bidi w:val="1"/>
      </w:pPr>
      <w:r>
        <w:rPr>
          <w:rtl w:val="1"/>
        </w:rPr>
        <w:t>Export the same Style to SMF from Pa600.</w:t>
      </w:r>
    </w:p>
    <w:p>
      <w:pPr>
        <w:pStyle w:val="NumberedList"/>
        <w:jc w:val="right"/>
        <w:bidi w:val="1"/>
      </w:pPr>
      <w:r>
        <w:rPr>
          <w:rtl w:val="1"/>
        </w:rPr>
        <w:t>Record Pa600 OS version.</w:t>
      </w:r>
    </w:p>
    <w:p>
      <w:pPr>
        <w:pStyle w:val="NumberedList"/>
        <w:jc w:val="right"/>
        <w:bidi w:val="1"/>
      </w:pPr>
      <w:r>
        <w:rPr>
          <w:rtl w:val="1"/>
        </w:rPr>
        <w:t>Hash all source files.</w:t>
      </w:r>
    </w:p>
    <w:p>
      <w:pPr>
        <w:pStyle w:val="NumberedList"/>
        <w:jc w:val="right"/>
        <w:bidi w:val="1"/>
      </w:pPr>
      <w:r>
        <w:rPr>
          <w:rtl w:val="1"/>
        </w:rPr>
        <w:t>Create golden manifest.</w:t>
      </w:r>
    </w:p>
    <w:p>
      <w:pPr>
        <w:pStyle w:val="NumberedList"/>
        <w:jc w:val="right"/>
        <w:bidi w:val="1"/>
      </w:pPr>
      <w:r>
        <w:rPr>
          <w:rtl w:val="1"/>
        </w:rPr>
        <w:t>Write inspect_sty.py / inspect_set.py / inspect_smf.py.</w:t>
      </w:r>
    </w:p>
    <w:p>
      <w:pPr>
        <w:pStyle w:val="NumberedList"/>
        <w:jc w:val="right"/>
        <w:bidi w:val="1"/>
      </w:pPr>
      <w:r>
        <w:rPr>
          <w:rtl w:val="1"/>
        </w:rPr>
        <w:t>Produce first A/B experiment: one controlled change.</w:t>
      </w:r>
    </w:p>
    <w:p>
      <w:pPr>
        <w:pStyle w:val="NumberedList"/>
        <w:jc w:val="right"/>
        <w:bidi w:val="1"/>
      </w:pPr>
      <w:r>
        <w:rPr>
          <w:rtl w:val="1"/>
        </w:rPr>
        <w:t>Commit before moving on.</w:t>
      </w:r>
    </w:p>
    <w:tbl>
      <w:tblPr>
        <w:tblW w:type="auto" w:w="0"/>
        <w:jc w:val="center"/>
        <w:tblLook w:firstColumn="1" w:firstRow="1" w:lastColumn="0" w:lastRow="0" w:noHBand="0" w:noVBand="1" w:val="04A0"/>
      </w:tblPr>
      <w:tblGrid>
        <w:gridCol w:w="10166"/>
      </w:tblGrid>
      <w:tr>
        <w:trPr>
          <w:tblHeader w:val="true"/>
        </w:trPr>
        <w:tc>
          <w:tcPr>
            <w:tcW w:type="dxa" w:w="10166"/>
            <w:shd w:fill="FFF0EE"/>
            <w:tcBorders>
              <w:top w:val="single" w:sz="4" w:color="D9E0E6"/>
              <w:left w:val="single" w:sz="18" w:color="B42318"/>
              <w:bottom w:val="single" w:sz="4" w:color="D9E0E6"/>
              <w:right w:val="single" w:sz="4" w:color="D9E0E6"/>
            </w:tcBorders>
            <w:tcMar>
              <w:top w:w="140" w:type="dxa"/>
              <w:start w:w="180" w:type="dxa"/>
              <w:bottom w:w="140" w:type="dxa"/>
              <w:end w:w="180" w:type="dxa"/>
            </w:tcMar>
          </w:tcPr>
          <w:p>
            <w:pPr>
              <w:jc w:val="right"/>
              <w:bidi w:val="1"/>
            </w:pPr>
            <w:r>
              <w:rPr>
                <w:b/>
                <w:color w:val="B42318"/>
                <w:rtl w:val="1"/>
              </w:rPr>
              <w:t>אל תתחיל מה־AI</w:t>
            </w:r>
          </w:p>
          <w:p>
            <w:pPr>
              <w:jc w:val="right"/>
              <w:bidi w:val="1"/>
            </w:pPr>
            <w:r>
              <w:rPr>
                <w:rtl w:val="1"/>
              </w:rPr>
              <w:t>אם ה־Native Writer לא יכול לעבור Hardware Gate, אין טעם להשקיע קודם ב־Demucs, LLM או React. כל שכבה מאוחרת יכולה להישען על Core יציב; ההפך לא נכון.</w:t>
            </w:r>
          </w:p>
        </w:tc>
      </w:tr>
    </w:tbl>
    <w:p/>
    <w:p>
      <w:pPr>
        <w:pStyle w:val="Heading1"/>
        <w:jc w:val="right"/>
        <w:bidi w:val="1"/>
        <w:keepNext/>
      </w:pPr>
      <w:r>
        <w:rPr>
          <w:rtl w:val="1"/>
        </w:rPr>
        <w:t>91. 20 כרטיסי עבודה ראשונים</w:t>
      </w:r>
    </w:p>
    <w:tbl>
      <w:tblPr>
        <w:tblW w:type="auto" w:w="0"/>
        <w:jc w:val="center"/>
        <w:tblLook w:firstColumn="1" w:firstRow="1" w:lastColumn="0" w:lastRow="0" w:noHBand="0" w:noVBand="1" w:val="04A0"/>
      </w:tblPr>
      <w:tblGrid>
        <w:gridCol w:w="5083"/>
        <w:gridCol w:w="5083"/>
      </w:tblGrid>
      <w:tr>
        <w:trPr>
          <w:tblHeader w:val="true"/>
        </w:trPr>
        <w:tc>
          <w:tcPr>
            <w:tcW w:type="dxa" w:w="792"/>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w:t>
            </w:r>
          </w:p>
        </w:tc>
        <w:tc>
          <w:tcPr>
            <w:tcW w:type="dxa" w:w="9432"/>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Ticket</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01</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Bootstrap repo + CI</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02</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Hex/inspection CLI</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03</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 tree inspector</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04</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SMF inspector</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05</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Golden manifest</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06</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 parser skeleton</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07</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Unknown chunk preservation</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08</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Field registry</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09</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Semantic model</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10</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Writer template POC</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11</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Round-trip comparator</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12</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Pa600 hardware test protocol</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13</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KMP/KSF decoder skeleton</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14</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Sample registry</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15</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Drum classifier adapter</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16</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Separator adapter</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17</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ADT adapter</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18</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Timing/canonical pattern engine</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19</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Remapping resolver</w:t>
            </w:r>
          </w:p>
        </w:tc>
      </w:tr>
      <w:tr>
        <w:tc>
          <w:tcPr>
            <w:tcW w:type="dxa" w:w="792"/>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20</w:t>
            </w:r>
          </w:p>
        </w:tc>
        <w:tc>
          <w:tcPr>
            <w:tcW w:type="dxa" w:w="9432"/>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 compiler MVP</w:t>
            </w:r>
          </w:p>
        </w:tc>
      </w:tr>
    </w:tbl>
    <w:p/>
    <w:p>
      <w:pPr>
        <w:pStyle w:val="Heading1"/>
        <w:jc w:val="right"/>
        <w:bidi w:val="1"/>
        <w:keepNext/>
        <w:pageBreakBefore/>
      </w:pPr>
      <w:r>
        <w:rPr>
          <w:rtl w:val="1"/>
        </w:rPr>
        <w:t>חלק XV — Internal Contracts</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92. Interfaces</w:t>
      </w:r>
    </w:p>
    <w:p>
      <w:pPr>
        <w:pStyle w:val="CodeBlock"/>
        <w:jc w:val="left"/>
        <w:bidi w:val="0"/>
      </w:pPr>
      <w:r>
        <w:rPr>
          <w:rFonts w:ascii="DejaVu Sans Mono" w:hAnsi="DejaVu Sans Mono" w:cs="DejaVu Sans Mono"/>
          <w:rtl w:val="0"/>
        </w:rPr>
        <w:t>class IStyleParser:</w:t>
        <w:br/>
        <w:t xml:space="preserve">    def parse(self, path) -&gt; StyleModel: ...</w:t>
        <w:br/>
        <w:br/>
        <w:t>class IStyleWriter:</w:t>
        <w:br/>
        <w:t xml:space="preserve">    def write(self, model, path, profile) -&gt; WriteResult: ...</w:t>
        <w:br/>
        <w:br/>
        <w:t>class ISetParser:</w:t>
        <w:br/>
        <w:t xml:space="preserve">    def parse(self, set_root) -&gt; SetModel: ...</w:t>
        <w:br/>
        <w:br/>
        <w:t>class ISampleDecoder:</w:t>
        <w:br/>
        <w:t xml:space="preserve">    def decode(self, resource) -&gt; SampleData: ...</w:t>
        <w:br/>
        <w:br/>
        <w:t>class ISourceSeparator:</w:t>
        <w:br/>
        <w:t xml:space="preserve">    def separate(self, audio_path, output_dir, config) -&gt; SeparationResult: ...</w:t>
        <w:br/>
        <w:br/>
        <w:t>class IDrumTranscriber:</w:t>
        <w:br/>
        <w:t xml:space="preserve">    def transcribe(self, drums_path, config) -&gt; DrumEventSet: ...</w:t>
        <w:br/>
        <w:br/>
        <w:t>class ITimingAnalyzer:</w:t>
        <w:br/>
        <w:t xml:space="preserve">    def analyze(self, events) -&gt; TimingModel: ...</w:t>
        <w:br/>
        <w:br/>
        <w:t>class IStyleCompiler:</w:t>
        <w:br/>
        <w:t xml:space="preserve">    def compile(self, pattern_model, set_model, profile) -&gt; CompileResult: ...</w:t>
      </w:r>
    </w:p>
    <w:p>
      <w:pPr>
        <w:pStyle w:val="Heading1"/>
        <w:jc w:val="right"/>
        <w:bidi w:val="1"/>
        <w:keepNext/>
      </w:pPr>
      <w:r>
        <w:rPr>
          <w:rtl w:val="1"/>
        </w:rPr>
        <w:t>93. Model Contracts</w:t>
      </w:r>
    </w:p>
    <w:tbl>
      <w:tblPr>
        <w:tblW w:type="auto" w:w="0"/>
        <w:jc w:val="center"/>
        <w:tblLook w:firstColumn="1" w:firstRow="1" w:lastColumn="0" w:lastRow="0" w:noHBand="0" w:noVBand="1" w:val="04A0"/>
      </w:tblPr>
      <w:tblGrid>
        <w:gridCol w:w="5083"/>
        <w:gridCol w:w="5083"/>
      </w:tblGrid>
      <w:tr>
        <w:trPr>
          <w:tblHeader w:val="true"/>
        </w:trPr>
        <w:tc>
          <w:tcPr>
            <w:tcW w:type="dxa" w:w="316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Model</w:t>
            </w:r>
          </w:p>
        </w:tc>
        <w:tc>
          <w:tcPr>
            <w:tcW w:type="dxa" w:w="705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אסור לו לעשות</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RawEventModel</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לדעת MIDI note יעד או SET slot</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CanonicalPatternModel</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להיות תלוי בשם Korg resource</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MappingModel</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לכתוב STY bytes</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StyleModel</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להניח YAML/CASM/Yamaha semantics</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LLM Action</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לגעת raw bytes</w:t>
            </w:r>
          </w:p>
        </w:tc>
      </w:tr>
      <w:tr>
        <w:tc>
          <w:tcPr>
            <w:tcW w:type="dxa" w:w="316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 Plan</w:t>
            </w:r>
          </w:p>
        </w:tc>
        <w:tc>
          <w:tcPr>
            <w:tcW w:type="dxa" w:w="70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לשנות source tree</w:t>
            </w:r>
          </w:p>
        </w:tc>
      </w:tr>
    </w:tbl>
    <w:p/>
    <w:p>
      <w:pPr>
        <w:pStyle w:val="Heading1"/>
        <w:jc w:val="right"/>
        <w:bidi w:val="1"/>
        <w:keepNext/>
      </w:pPr>
      <w:r>
        <w:rPr>
          <w:rtl w:val="1"/>
        </w:rPr>
        <w:t>94. Error Model</w:t>
      </w:r>
    </w:p>
    <w:tbl>
      <w:tblPr>
        <w:tblW w:type="auto" w:w="0"/>
        <w:jc w:val="center"/>
        <w:tblLook w:firstColumn="1" w:firstRow="1" w:lastColumn="0" w:lastRow="0" w:noHBand="0" w:noVBand="1" w:val="04A0"/>
      </w:tblPr>
      <w:tblGrid>
        <w:gridCol w:w="3389"/>
        <w:gridCol w:w="3389"/>
        <w:gridCol w:w="3389"/>
      </w:tblGrid>
      <w:tr>
        <w:trPr>
          <w:tblHeader w:val="true"/>
        </w:trPr>
        <w:tc>
          <w:tcPr>
            <w:tcW w:type="dxa" w:w="216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Severity</w:t>
            </w:r>
          </w:p>
        </w:tc>
        <w:tc>
          <w:tcPr>
            <w:tcW w:type="dxa" w:w="460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דוגמה</w:t>
            </w:r>
          </w:p>
        </w:tc>
        <w:tc>
          <w:tcPr>
            <w:tcW w:type="dxa" w:w="345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פעולה</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BLOCKING</w:t>
            </w:r>
          </w:p>
        </w:tc>
        <w:tc>
          <w:tcPr>
            <w:tcW w:type="dxa" w:w="46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Unknown required pointer</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Stop</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REVIEW_REQUIRED</w:t>
            </w:r>
          </w:p>
        </w:tc>
        <w:tc>
          <w:tcPr>
            <w:tcW w:type="dxa" w:w="46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Low ADT confidence</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Human review</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WARNING</w:t>
            </w:r>
          </w:p>
        </w:tc>
        <w:tc>
          <w:tcPr>
            <w:tcW w:type="dxa" w:w="46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Derived Ending</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Proceed with disclosure</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INFO</w:t>
            </w:r>
          </w:p>
        </w:tc>
        <w:tc>
          <w:tcPr>
            <w:tcW w:type="dxa" w:w="4608"/>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Cached Stage A</w:t>
            </w:r>
          </w:p>
        </w:tc>
        <w:tc>
          <w:tcPr>
            <w:tcW w:type="dxa" w:w="3456"/>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No action</w:t>
            </w:r>
          </w:p>
        </w:tc>
      </w:tr>
    </w:tbl>
    <w:p/>
    <w:p>
      <w:pPr>
        <w:pStyle w:val="Heading1"/>
        <w:jc w:val="right"/>
        <w:bidi w:val="1"/>
        <w:keepNext/>
        <w:pageBreakBefore/>
      </w:pPr>
      <w:r>
        <w:rPr>
          <w:rtl w:val="1"/>
        </w:rPr>
        <w:t>חלק XVI — MVP, Full Product, Definition of Done</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95. MVP מדויק</w:t>
      </w:r>
    </w:p>
    <w:p>
      <w:pPr>
        <w:pStyle w:val="BodyText"/>
        <w:jc w:val="right"/>
        <w:bidi w:val="1"/>
      </w:pPr>
      <w:r>
        <w:rPr>
          <w:rtl w:val="1"/>
        </w:rPr>
        <w:t>ה־MVP אינו מנסה לפתור את כל עולם ה־Style. הוא בונה Drum/Percussion Styles מקצועיים מ־Song Audio או MIDI וממפה אותם ל־Pa600 User SET.</w:t>
      </w:r>
    </w:p>
    <w:p>
      <w:pPr>
        <w:pStyle w:val="CodeBlock"/>
        <w:jc w:val="left"/>
        <w:bidi w:val="0"/>
      </w:pPr>
      <w:r>
        <w:rPr>
          <w:rFonts w:ascii="DejaVu Sans Mono" w:hAnsi="DejaVu Sans Mono" w:cs="DejaVu Sans Mono"/>
          <w:rtl w:val="0"/>
        </w:rPr>
        <w:t>INPUT</w:t>
        <w:br/>
        <w:t xml:space="preserve">  Song Audio OR MIDI</w:t>
        <w:br/>
        <w:t xml:space="preserve">  +</w:t>
        <w:br/>
        <w:t xml:space="preserve">  Pa600 Standard SET</w:t>
        <w:br/>
        <w:br/>
        <w:t>OUTPUT</w:t>
        <w:br/>
        <w:t xml:space="preserve">  Native STY</w:t>
        <w:br/>
        <w:t xml:space="preserve">  + Diagnostic MIDI</w:t>
        <w:br/>
        <w:t xml:space="preserve">  + Quality Report</w:t>
        <w:br/>
        <w:t xml:space="preserve">  + Optional Minimal SET</w:t>
      </w:r>
    </w:p>
    <w:p>
      <w:pPr>
        <w:pStyle w:val="Heading1"/>
        <w:jc w:val="right"/>
        <w:bidi w:val="1"/>
        <w:keepNext/>
      </w:pPr>
      <w:r>
        <w:rPr>
          <w:rtl w:val="1"/>
        </w:rPr>
        <w:t>96. MVP Definition of Done</w:t>
      </w:r>
    </w:p>
    <w:p>
      <w:pPr>
        <w:pStyle w:val="NumberedList"/>
        <w:jc w:val="right"/>
        <w:bidi w:val="1"/>
      </w:pPr>
      <w:r>
        <w:rPr>
          <w:rtl w:val="1"/>
        </w:rPr>
        <w:t>SET אמיתי נטען ללא mutation.</w:t>
      </w:r>
    </w:p>
    <w:p>
      <w:pPr>
        <w:pStyle w:val="NumberedList"/>
        <w:jc w:val="right"/>
        <w:bidi w:val="1"/>
      </w:pPr>
      <w:r>
        <w:rPr>
          <w:rtl w:val="1"/>
        </w:rPr>
        <w:t>Stage A מפיק deterministic resource map.</w:t>
      </w:r>
    </w:p>
    <w:p>
      <w:pPr>
        <w:pStyle w:val="NumberedList"/>
        <w:jc w:val="right"/>
        <w:bidi w:val="1"/>
      </w:pPr>
      <w:r>
        <w:rPr>
          <w:rtl w:val="1"/>
        </w:rPr>
        <w:t>Audio path מפיק Drum Events או דורש review כאשר confidence נמוך.</w:t>
      </w:r>
    </w:p>
    <w:p>
      <w:pPr>
        <w:pStyle w:val="NumberedList"/>
        <w:jc w:val="right"/>
        <w:bidi w:val="1"/>
      </w:pPr>
      <w:r>
        <w:rPr>
          <w:rtl w:val="1"/>
        </w:rPr>
        <w:t>MIDI path עובר ישירות ל־Music Engine.</w:t>
      </w:r>
    </w:p>
    <w:p>
      <w:pPr>
        <w:pStyle w:val="NumberedList"/>
        <w:jc w:val="right"/>
        <w:bidi w:val="1"/>
      </w:pPr>
      <w:r>
        <w:rPr>
          <w:rtl w:val="1"/>
        </w:rPr>
        <w:t>Timing Model מגדיר BPM/beat/downbeat/bar.</w:t>
      </w:r>
    </w:p>
    <w:p>
      <w:pPr>
        <w:pStyle w:val="NumberedList"/>
        <w:jc w:val="right"/>
        <w:bidi w:val="1"/>
      </w:pPr>
      <w:r>
        <w:rPr>
          <w:rtl w:val="1"/>
        </w:rPr>
        <w:t>Pattern Identity יציבה מול microtiming variation.</w:t>
      </w:r>
    </w:p>
    <w:p>
      <w:pPr>
        <w:pStyle w:val="NumberedList"/>
        <w:jc w:val="right"/>
        <w:bidi w:val="1"/>
      </w:pPr>
      <w:r>
        <w:rPr>
          <w:rtl w:val="1"/>
        </w:rPr>
        <w:t>Variation 1–2 ו־Fill 1 / Intro 1 / Ending 1 ניתנים להפקה.</w:t>
      </w:r>
    </w:p>
    <w:p>
      <w:pPr>
        <w:pStyle w:val="NumberedList"/>
        <w:jc w:val="right"/>
        <w:bidi w:val="1"/>
      </w:pPr>
      <w:r>
        <w:rPr>
          <w:rtl w:val="1"/>
        </w:rPr>
        <w:t>Mapping validator מאשר שכל target note חוקי.</w:t>
      </w:r>
    </w:p>
    <w:p>
      <w:pPr>
        <w:pStyle w:val="NumberedList"/>
        <w:jc w:val="right"/>
        <w:bidi w:val="1"/>
      </w:pPr>
      <w:r>
        <w:rPr>
          <w:rtl w:val="1"/>
        </w:rPr>
        <w:t>Native STY static validation = PASS.</w:t>
      </w:r>
    </w:p>
    <w:p>
      <w:pPr>
        <w:pStyle w:val="NumberedList"/>
        <w:jc w:val="right"/>
        <w:bidi w:val="1"/>
      </w:pPr>
      <w:r>
        <w:rPr>
          <w:rtl w:val="1"/>
        </w:rPr>
        <w:t>Semantic round-trip = PASS.</w:t>
      </w:r>
    </w:p>
    <w:p>
      <w:pPr>
        <w:pStyle w:val="NumberedList"/>
        <w:jc w:val="right"/>
        <w:bidi w:val="1"/>
      </w:pPr>
      <w:r>
        <w:rPr>
          <w:rtl w:val="1"/>
        </w:rPr>
        <w:t>Pa600 load/play/save/reload = PASS עבור declared scope.</w:t>
      </w:r>
    </w:p>
    <w:p>
      <w:pPr>
        <w:pStyle w:val="NumberedList"/>
        <w:jc w:val="right"/>
        <w:bidi w:val="1"/>
      </w:pPr>
      <w:r>
        <w:rPr>
          <w:rtl w:val="1"/>
        </w:rPr>
        <w:t>כל artifact מגיע עם report + provenance.</w:t>
      </w:r>
    </w:p>
    <w:p>
      <w:pPr>
        <w:pStyle w:val="Heading1"/>
        <w:jc w:val="right"/>
        <w:bidi w:val="1"/>
        <w:keepNext/>
      </w:pPr>
      <w:r>
        <w:rPr>
          <w:rtl w:val="1"/>
        </w:rPr>
        <w:t>97. Full Product Definition</w:t>
      </w:r>
    </w:p>
    <w:p>
      <w:pPr>
        <w:pStyle w:val="BodyText"/>
        <w:jc w:val="right"/>
        <w:bidi w:val="1"/>
      </w:pPr>
      <w:r>
        <w:rPr>
          <w:rtl w:val="1"/>
        </w:rPr>
        <w:t>בגרסה המלאה ניתן להוסיף Bass ו־ACC1–ACC5 עם Korg-specific chord transformations, כל ה־Style Elements, Complete SET packaging, advanced Editor, LLM Actions ו־FX profile estimation. כל הרחבה עוברת אותו Gate system.</w:t>
      </w:r>
    </w:p>
    <w:p>
      <w:pPr>
        <w:pStyle w:val="Heading1"/>
        <w:jc w:val="right"/>
        <w:bidi w:val="1"/>
        <w:keepNext/>
      </w:pPr>
      <w:r>
        <w:rPr>
          <w:rtl w:val="1"/>
        </w:rPr>
        <w:t>98. Non-Functional Requirements</w:t>
      </w:r>
    </w:p>
    <w:tbl>
      <w:tblPr>
        <w:tblW w:type="auto" w:w="0"/>
        <w:jc w:val="center"/>
        <w:tblLook w:firstColumn="1" w:firstRow="1" w:lastColumn="0" w:lastRow="0" w:noHBand="0" w:noVBand="1" w:val="04A0"/>
      </w:tblPr>
      <w:tblGrid>
        <w:gridCol w:w="5083"/>
        <w:gridCol w:w="5083"/>
      </w:tblGrid>
      <w:tr>
        <w:trPr>
          <w:tblHeader w:val="true"/>
        </w:trPr>
        <w:tc>
          <w:tcPr>
            <w:tcW w:type="dxa" w:w="216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NFR</w:t>
            </w:r>
          </w:p>
        </w:tc>
        <w:tc>
          <w:tcPr>
            <w:tcW w:type="dxa" w:w="806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דרישה</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Correctness</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No silent corruption</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Reproducibility</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Versioned inputs/models/configs</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Safety</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No destructive SET mutations</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Auditability</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Decision + evidence trail</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Explainability</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Why/confidence/evidence</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Maintainability</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Korg behavior isolated in Profile/Codec/Validator</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Performance</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Stage-specific p50/p95</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Recoverability</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Retry from validated parent artifacts</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Privacy</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Declared retention, redacted logs</w:t>
            </w:r>
          </w:p>
        </w:tc>
      </w:tr>
      <w:tr>
        <w:tc>
          <w:tcPr>
            <w:tcW w:type="dxa" w:w="216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Portability</w:t>
            </w:r>
          </w:p>
        </w:tc>
        <w:tc>
          <w:tcPr>
            <w:tcW w:type="dxa" w:w="806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Backend adapters; no hard dependency on one AI vendor</w:t>
            </w:r>
          </w:p>
        </w:tc>
      </w:tr>
    </w:tbl>
    <w:p/>
    <w:p>
      <w:pPr>
        <w:pStyle w:val="Heading1"/>
        <w:jc w:val="right"/>
        <w:bidi w:val="1"/>
        <w:keepNext/>
        <w:pageBreakBefore/>
      </w:pPr>
      <w:r>
        <w:rPr>
          <w:rtl w:val="1"/>
        </w:rPr>
        <w:t>חלק XVII — Support Boundaries + Release Matrix</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99. Capability Matrix</w:t>
      </w:r>
    </w:p>
    <w:tbl>
      <w:tblPr>
        <w:tblW w:type="auto" w:w="0"/>
        <w:jc w:val="center"/>
        <w:tblLook w:firstColumn="1" w:firstRow="1" w:lastColumn="0" w:lastRow="0" w:noHBand="0" w:noVBand="1" w:val="04A0"/>
      </w:tblPr>
      <w:tblGrid>
        <w:gridCol w:w="3389"/>
        <w:gridCol w:w="3389"/>
        <w:gridCol w:w="3389"/>
      </w:tblGrid>
      <w:tr>
        <w:trPr>
          <w:tblHeader w:val="true"/>
        </w:trPr>
        <w:tc>
          <w:tcPr>
            <w:tcW w:type="dxa" w:w="302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Capability</w:t>
            </w:r>
          </w:p>
        </w:tc>
        <w:tc>
          <w:tcPr>
            <w:tcW w:type="dxa" w:w="345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v0.1</w:t>
            </w:r>
          </w:p>
        </w:tc>
        <w:tc>
          <w:tcPr>
            <w:tcW w:type="dxa" w:w="374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Later</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Pa600 Standard 2.1.1</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CERTIFIED target after hardware gate</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Other profiles</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Drum/Perc</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Audio input</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Supported after ADT benchmark</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Better models</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MIDI input</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Variation 1–2</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MVP</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Variation 3–4</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Fill 1</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MVP</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Fill 2–4</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Intro 1 / Ending 1</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MVP</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Intro 2–3 / Ending 2–3</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Bass/ACC</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Unsupported</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Phase 2</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LLM</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Post-MVP</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 UX</w:t>
            </w:r>
          </w:p>
        </w:tc>
      </w:tr>
      <w:tr>
        <w:tc>
          <w:tcPr>
            <w:tcW w:type="dxa" w:w="302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FX</w:t>
            </w:r>
          </w:p>
        </w:tc>
        <w:tc>
          <w:tcPr>
            <w:tcW w:type="dxa" w:w="345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Experimental</w:t>
            </w:r>
          </w:p>
        </w:tc>
        <w:tc>
          <w:tcPr>
            <w:tcW w:type="dxa" w:w="3744"/>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Phase 2</w:t>
            </w:r>
          </w:p>
        </w:tc>
      </w:tr>
    </w:tbl>
    <w:p/>
    <w:p>
      <w:pPr>
        <w:pStyle w:val="Heading1"/>
        <w:jc w:val="right"/>
        <w:bidi w:val="1"/>
        <w:keepNext/>
      </w:pPr>
      <w:r>
        <w:rPr>
          <w:rtl w:val="1"/>
        </w:rPr>
        <w:t>100. Unsupported Means Unsupported</w:t>
      </w:r>
    </w:p>
    <w:tbl>
      <w:tblPr>
        <w:tblW w:type="auto" w:w="0"/>
        <w:jc w:val="center"/>
        <w:tblLook w:firstColumn="1" w:firstRow="1" w:lastColumn="0" w:lastRow="0" w:noHBand="0" w:noVBand="1" w:val="04A0"/>
      </w:tblPr>
      <w:tblGrid>
        <w:gridCol w:w="10166"/>
      </w:tblGrid>
      <w:tr>
        <w:trPr>
          <w:tblHeader w:val="true"/>
        </w:trPr>
        <w:tc>
          <w:tcPr>
            <w:tcW w:type="dxa" w:w="10166"/>
            <w:shd w:fill="FFF0EE"/>
            <w:tcBorders>
              <w:top w:val="single" w:sz="4" w:color="D9E0E6"/>
              <w:left w:val="single" w:sz="18" w:color="B42318"/>
              <w:bottom w:val="single" w:sz="4" w:color="D9E0E6"/>
              <w:right w:val="single" w:sz="4" w:color="D9E0E6"/>
            </w:tcBorders>
            <w:tcMar>
              <w:top w:w="140" w:type="dxa"/>
              <w:start w:w="180" w:type="dxa"/>
              <w:bottom w:w="140" w:type="dxa"/>
              <w:end w:w="180" w:type="dxa"/>
            </w:tcMar>
          </w:tcPr>
          <w:p>
            <w:pPr>
              <w:jc w:val="right"/>
              <w:bidi w:val="1"/>
            </w:pPr>
            <w:r>
              <w:rPr>
                <w:b/>
                <w:color w:val="B42318"/>
                <w:rtl w:val="1"/>
              </w:rPr>
              <w:t>Never hide unsupported behavior</w:t>
            </w:r>
          </w:p>
          <w:p>
            <w:pPr>
              <w:jc w:val="right"/>
              <w:bidi w:val="1"/>
            </w:pPr>
            <w:r>
              <w:rPr>
                <w:rtl w:val="1"/>
              </w:rPr>
              <w:t>אם Feature אינו verified, המערכת מסמנת אותו. היא לא “עושה משהו דומה” ומעמידה פנים שזה ה־Feature המקורי.</w:t>
            </w:r>
          </w:p>
        </w:tc>
      </w:tr>
    </w:tbl>
    <w:p/>
    <w:p>
      <w:pPr>
        <w:pStyle w:val="Heading1"/>
        <w:jc w:val="right"/>
        <w:bidi w:val="1"/>
        <w:keepNext/>
      </w:pPr>
      <w:r>
        <w:rPr>
          <w:rtl w:val="1"/>
        </w:rPr>
        <w:t>101. Release Certification Matrix</w:t>
      </w:r>
    </w:p>
    <w:tbl>
      <w:tblPr>
        <w:tblW w:type="auto" w:w="0"/>
        <w:jc w:val="center"/>
        <w:tblLook w:firstColumn="1" w:firstRow="1" w:lastColumn="0" w:lastRow="0" w:noHBand="0" w:noVBand="1" w:val="04A0"/>
      </w:tblPr>
      <w:tblGrid>
        <w:gridCol w:w="5083"/>
        <w:gridCol w:w="5083"/>
      </w:tblGrid>
      <w:tr>
        <w:trPr>
          <w:tblHeader w:val="true"/>
        </w:trPr>
        <w:tc>
          <w:tcPr>
            <w:tcW w:type="dxa" w:w="2448"/>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Layer</w:t>
            </w:r>
          </w:p>
        </w:tc>
        <w:tc>
          <w:tcPr>
            <w:tcW w:type="dxa" w:w="7776"/>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Release condition</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Core format</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Parser + Writer + round-trip PASS</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Audio</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Benchmark + confidence calibration</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Music</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Canonical pattern and structure benchmark</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Mapping</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100% valid target note emission</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Compiler</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Static + semantic validation</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Dependency, conflict, clean environment</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Web</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Job, retry, cancel, security</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LLM</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Schema, permissions, deterministic action</w:t>
            </w:r>
          </w:p>
        </w:tc>
      </w:tr>
      <w:tr>
        <w:tc>
          <w:tcPr>
            <w:tcW w:type="dxa" w:w="2448"/>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Hardware</w:t>
            </w:r>
          </w:p>
        </w:tc>
        <w:tc>
          <w:tcPr>
            <w:tcW w:type="dxa" w:w="7776"/>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Declared features pass H3/H4 as required</w:t>
            </w:r>
          </w:p>
        </w:tc>
      </w:tr>
    </w:tbl>
    <w:p/>
    <w:p>
      <w:pPr>
        <w:pStyle w:val="Heading1"/>
        <w:jc w:val="right"/>
        <w:bidi w:val="1"/>
        <w:keepNext/>
        <w:pageBreakBefore/>
      </w:pPr>
      <w:r>
        <w:rPr>
          <w:rtl w:val="1"/>
        </w:rPr>
        <w:t>חלק XVIII — Glossary + Sources</w:t>
      </w:r>
    </w:p>
    <w:tbl>
      <w:tblPr>
        <w:tblW w:type="auto" w:w="0"/>
        <w:tblLook w:firstColumn="1" w:firstRow="1" w:lastColumn="0" w:lastRow="0" w:noHBand="0" w:noVBand="1" w:val="04A0"/>
      </w:tblPr>
      <w:tblGrid>
        <w:gridCol w:w="10166"/>
      </w:tblGrid>
      <w:tr>
        <w:trPr>
          <w:tblHeader w:val="true"/>
        </w:trPr>
        <w:tc>
          <w:tcPr>
            <w:tcW w:type="dxa" w:w="10166"/>
            <w:shd w:fill="2E6FBB"/>
          </w:tcPr>
          <w:p>
            <w:r/>
          </w:p>
        </w:tc>
      </w:tr>
    </w:tbl>
    <w:p>
      <w:pPr>
        <w:pStyle w:val="Heading1"/>
        <w:jc w:val="right"/>
        <w:bidi w:val="1"/>
        <w:keepNext/>
      </w:pPr>
      <w:r>
        <w:rPr>
          <w:rtl w:val="1"/>
        </w:rPr>
        <w:t>102. Glossary</w:t>
      </w:r>
    </w:p>
    <w:tbl>
      <w:tblPr>
        <w:tblW w:type="auto" w:w="0"/>
        <w:jc w:val="center"/>
        <w:tblLook w:firstColumn="1" w:firstRow="1" w:lastColumn="0" w:lastRow="0" w:noHBand="0" w:noVBand="1" w:val="04A0"/>
      </w:tblPr>
      <w:tblGrid>
        <w:gridCol w:w="5083"/>
        <w:gridCol w:w="5083"/>
      </w:tblGrid>
      <w:tr>
        <w:trPr>
          <w:tblHeader w:val="true"/>
        </w:trPr>
        <w:tc>
          <w:tcPr>
            <w:tcW w:type="dxa" w:w="2880"/>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Term</w:t>
            </w:r>
          </w:p>
        </w:tc>
        <w:tc>
          <w:tcPr>
            <w:tcW w:type="dxa" w:w="7344"/>
            <w:shd w:fill="16324F"/>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b/>
                <w:color w:val="FFFFFF"/>
                <w:rtl w:val="1"/>
              </w:rPr>
              <w:t>הגדרה</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Native Korg Style file.</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SET</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Korg resource package/folder structure.</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Style Element</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Variation, Intro, Fill, Break, Ending.</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CV</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Chord Variation בתוך Style Element.</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SMF</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Standard MIDI File; interoperability/diagnostic channel for Style workflows.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KMP</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Korg Multisample-related resource/parameters.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KSF</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Korg Sample resource.</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DrumKit</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Korg drum resource whose keys and velocity behavior define triggered samples.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ADT</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Automatic Drum Transcription.</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Canonical Pattern</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Normalized rhythmic identity independent of performance microtiming.</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Groove Template</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Separate representation of timing feel.</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Resource Graph</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Dependency graph linking style/music resources to sample assets.</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CompilePlan</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Pre-artifact plan that states what the compiler will create.</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Evidence Level</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VERIFIED / DOCUMENTED / EXPERIMENTAL.</w:t>
            </w:r>
          </w:p>
        </w:tc>
      </w:tr>
      <w:tr>
        <w:tc>
          <w:tcPr>
            <w:tcW w:type="dxa" w:w="2880"/>
            <w:shd w:fill="FAFBFC"/>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Semantic Round Trip</w:t>
            </w:r>
          </w:p>
        </w:tc>
        <w:tc>
          <w:tcPr>
            <w:tcW w:type="dxa" w:w="7344"/>
            <w:vAlign w:val="center"/>
            <w:tcBorders>
              <w:top w:val="single" w:sz="6" w:color="D9E0E6"/>
              <w:left w:val="single" w:sz="6" w:color="D9E0E6"/>
              <w:bottom w:val="single" w:sz="6" w:color="D9E0E6"/>
              <w:right w:val="single" w:sz="6" w:color="D9E0E6"/>
            </w:tcBorders>
            <w:tcMar>
              <w:top w:w="100" w:type="dxa"/>
              <w:start w:w="120" w:type="dxa"/>
              <w:bottom w:w="100" w:type="dxa"/>
              <w:end w:w="120" w:type="dxa"/>
            </w:tcMar>
          </w:tcPr>
          <w:p>
            <w:pPr>
              <w:jc w:val="right"/>
              <w:bidi w:val="1"/>
            </w:pPr>
            <w:r>
              <w:rPr>
                <w:rtl w:val="1"/>
              </w:rPr>
              <w:t>Parse → Write → Parse semantic equality test.</w:t>
            </w:r>
          </w:p>
        </w:tc>
      </w:tr>
    </w:tbl>
    <w:p/>
    <w:p>
      <w:pPr>
        <w:pStyle w:val="Heading1"/>
        <w:jc w:val="right"/>
        <w:bidi w:val="1"/>
        <w:keepNext/>
      </w:pPr>
      <w:r>
        <w:rPr>
          <w:rtl w:val="1"/>
        </w:rPr>
        <w:t>103. מקורות טכניים שנבדקו</w:t>
      </w:r>
    </w:p>
    <w:p>
      <w:pPr>
        <w:pStyle w:val="Compact"/>
        <w:jc w:val="right"/>
        <w:bidi w:val="1"/>
      </w:pPr>
      <w:r>
        <w:rPr>
          <w:b/>
          <w:rtl w:val="1"/>
        </w:rPr>
        <w:t xml:space="preserve">KORG — Pa600 Operating System 2.1.1 — </w:t>
      </w:r>
      <w:hyperlink r:id="rId11">
        <w:r>
          <w:rPr>
            <w:color w:val="2E6FBB"/>
            <w:u w:val="single"/>
            <w:rFonts w:ascii="Noto Sans Hebrew" w:hAnsi="Noto Sans Hebrew" w:cs="Noto Sans Hebrew"/>
          </w:rPr>
          <w:t>KORG — Pa600 OS 2.1.1</w:t>
        </w:r>
      </w:hyperlink>
    </w:p>
    <w:p>
      <w:pPr>
        <w:pStyle w:val="Compact"/>
        <w:jc w:val="right"/>
        <w:bidi w:val="1"/>
      </w:pPr>
      <w:r>
        <w:rPr>
          <w:b/>
          <w:rtl w:val="1"/>
        </w:rPr>
        <w:t xml:space="preserve">KORG — Pa600 Official Product Page — </w:t>
      </w:r>
      <w:hyperlink r:id="rId12">
        <w:r>
          <w:rPr>
            <w:color w:val="2E6FBB"/>
            <w:u w:val="single"/>
            <w:rFonts w:ascii="Noto Sans Hebrew" w:hAnsi="Noto Sans Hebrew" w:cs="Noto Sans Hebrew"/>
          </w:rPr>
          <w:t>KORG — Pa600 Product</w:t>
        </w:r>
      </w:hyperlink>
    </w:p>
    <w:p>
      <w:pPr>
        <w:pStyle w:val="Compact"/>
        <w:jc w:val="right"/>
        <w:bidi w:val="1"/>
      </w:pPr>
      <w:r>
        <w:rPr>
          <w:b/>
          <w:rtl w:val="1"/>
        </w:rPr>
        <w:t xml:space="preserve">KORG — Pa600 Specifications — </w:t>
      </w:r>
      <w:hyperlink r:id="rId13">
        <w:r>
          <w:rPr>
            <w:color w:val="2E6FBB"/>
            <w:u w:val="single"/>
            <w:rFonts w:ascii="Noto Sans Hebrew" w:hAnsi="Noto Sans Hebrew" w:cs="Noto Sans Hebrew"/>
          </w:rPr>
          <w:t>KORG — Pa600 Specifications</w:t>
        </w:r>
      </w:hyperlink>
    </w:p>
    <w:p>
      <w:pPr>
        <w:pStyle w:val="Compact"/>
        <w:jc w:val="right"/>
        <w:bidi w:val="1"/>
      </w:pPr>
      <w:r>
        <w:rPr>
          <w:b/>
          <w:rtl w:val="1"/>
        </w:rPr>
        <w:t xml:space="preserve">KORG — Pa600 User Manual v2.1 — </w:t>
      </w:r>
      <w:hyperlink r:id="rId14">
        <w:r>
          <w:rPr>
            <w:color w:val="2E6FBB"/>
            <w:u w:val="single"/>
            <w:rFonts w:ascii="Noto Sans Hebrew" w:hAnsi="Noto Sans Hebrew" w:cs="Noto Sans Hebrew"/>
          </w:rPr>
          <w:t>KORG — Pa600 User Manual v2.1</w:t>
        </w:r>
      </w:hyperlink>
    </w:p>
    <w:p>
      <w:pPr>
        <w:pStyle w:val="Compact"/>
        <w:jc w:val="right"/>
        <w:bidi w:val="1"/>
      </w:pPr>
      <w:r>
        <w:rPr>
          <w:b/>
          <w:rtl w:val="1"/>
        </w:rPr>
        <w:t xml:space="preserve">Essentia Documentation — </w:t>
      </w:r>
      <w:hyperlink r:id="rId15">
        <w:r>
          <w:rPr>
            <w:color w:val="2E6FBB"/>
            <w:u w:val="single"/>
            <w:rFonts w:ascii="Noto Sans Hebrew" w:hAnsi="Noto Sans Hebrew" w:cs="Noto Sans Hebrew"/>
          </w:rPr>
          <w:t>Essentia — Audio Analysis Documentation</w:t>
        </w:r>
      </w:hyperlink>
    </w:p>
    <w:p>
      <w:pPr>
        <w:pStyle w:val="Compact"/>
        <w:jc w:val="right"/>
        <w:bidi w:val="1"/>
      </w:pPr>
      <w:r>
        <w:rPr>
          <w:b/>
          <w:rtl w:val="1"/>
        </w:rPr>
        <w:t xml:space="preserve">Omnizart Repository / Documentation — </w:t>
      </w:r>
      <w:hyperlink r:id="rId16">
        <w:r>
          <w:rPr>
            <w:color w:val="2E6FBB"/>
            <w:u w:val="single"/>
            <w:rFonts w:ascii="Noto Sans Hebrew" w:hAnsi="Noto Sans Hebrew" w:cs="Noto Sans Hebrew"/>
          </w:rPr>
          <w:t>Omnizart — Repository</w:t>
        </w:r>
      </w:hyperlink>
    </w:p>
    <w:p>
      <w:pPr>
        <w:pStyle w:val="Compact"/>
        <w:jc w:val="right"/>
        <w:bidi w:val="1"/>
      </w:pPr>
      <w:r>
        <w:rPr>
          <w:b/>
          <w:rtl w:val="1"/>
        </w:rPr>
        <w:t xml:space="preserve">Spotify Basic Pitch Repository — </w:t>
      </w:r>
      <w:hyperlink r:id="rId17">
        <w:r>
          <w:rPr>
            <w:color w:val="2E6FBB"/>
            <w:u w:val="single"/>
            <w:rFonts w:ascii="Noto Sans Hebrew" w:hAnsi="Noto Sans Hebrew" w:cs="Noto Sans Hebrew"/>
          </w:rPr>
          <w:t>Spotify — Basic Pitch Repository</w:t>
        </w:r>
      </w:hyperlink>
    </w:p>
    <w:p>
      <w:pPr>
        <w:pStyle w:val="Compact"/>
        <w:jc w:val="right"/>
        <w:bidi w:val="1"/>
      </w:pPr>
      <w:r>
        <w:rPr>
          <w:b/>
          <w:rtl w:val="1"/>
        </w:rPr>
        <w:t xml:space="preserve">facebookresearch / Demucs Repository — </w:t>
      </w:r>
      <w:hyperlink r:id="rId18">
        <w:r>
          <w:rPr>
            <w:color w:val="2E6FBB"/>
            <w:u w:val="single"/>
            <w:rFonts w:ascii="Noto Sans Hebrew" w:hAnsi="Noto Sans Hebrew" w:cs="Noto Sans Hebrew"/>
          </w:rPr>
          <w:t>facebookresearch — Demucs Repository</w:t>
        </w:r>
      </w:hyperlink>
    </w:p>
    <w:p>
      <w:pPr>
        <w:pStyle w:val="Heading1"/>
        <w:jc w:val="right"/>
        <w:bidi w:val="1"/>
        <w:keepNext/>
      </w:pPr>
      <w:r>
        <w:rPr>
          <w:rtl w:val="1"/>
        </w:rPr>
        <w:t>104. Baseline Korg Facts — כפי שנעשה בהם שימוש במסמך</w:t>
      </w:r>
    </w:p>
    <w:p>
      <w:pPr>
        <w:pStyle w:val="BulletList"/>
        <w:jc w:val="right"/>
        <w:bidi w:val="1"/>
      </w:pPr>
      <w:r>
        <w:rPr>
          <w:rtl w:val="1"/>
        </w:rPr>
        <w:t>Pa600 Standard ו־Pa600QT הם profiles נפרדים.</w:t>
      </w:r>
    </w:p>
    <w:p>
      <w:pPr>
        <w:pStyle w:val="BulletList"/>
        <w:jc w:val="right"/>
        <w:bidi w:val="1"/>
      </w:pPr>
      <w:r>
        <w:rPr>
          <w:rtl w:val="1"/>
        </w:rPr>
        <w:t>OS 2.1.1 הוא עדכון רשמי של Pa600.</w:t>
      </w:r>
    </w:p>
    <w:p>
      <w:pPr>
        <w:pStyle w:val="BulletList"/>
        <w:jc w:val="right"/>
        <w:bidi w:val="1"/>
      </w:pPr>
      <w:r>
        <w:rPr>
          <w:rtl w:val="1"/>
        </w:rPr>
        <w:t>Pa600 כולל 8 Style tracks ו־15 Style Elements.</w:t>
      </w:r>
    </w:p>
    <w:p>
      <w:pPr>
        <w:pStyle w:val="BulletList"/>
        <w:jc w:val="right"/>
        <w:bidi w:val="1"/>
      </w:pPr>
      <w:r>
        <w:rPr>
          <w:rtl w:val="1"/>
        </w:rPr>
        <w:t>Variations תומכות בעד 6 CVs; שאר Style Elements בעד 2.</w:t>
      </w:r>
    </w:p>
    <w:p>
      <w:pPr>
        <w:pStyle w:val="BulletList"/>
        <w:jc w:val="right"/>
        <w:bidi w:val="1"/>
      </w:pPr>
      <w:r>
        <w:rPr>
          <w:rtl w:val="1"/>
        </w:rPr>
        <w:t>Pa600 תומך ב־NTT עבור track types transposing, אך Drum/Perc אינם עוברים transpose.</w:t>
      </w:r>
    </w:p>
    <w:p>
      <w:pPr>
        <w:pStyle w:val="BulletList"/>
        <w:jc w:val="right"/>
        <w:bidi w:val="1"/>
      </w:pPr>
      <w:r>
        <w:rPr>
          <w:rtl w:val="1"/>
        </w:rPr>
        <w:t>Pa600 Style Import/Export משתמש ב־SMF Format 0 וב־Marker conventions.</w:t>
      </w:r>
    </w:p>
    <w:p>
      <w:pPr>
        <w:pStyle w:val="BulletList"/>
        <w:jc w:val="right"/>
        <w:bidi w:val="1"/>
      </w:pPr>
      <w:r>
        <w:rPr>
          <w:rtl w:val="1"/>
        </w:rPr>
        <w:t>Pa600 מספק עד 96 MB User PCM לפי מפרט Korg.</w:t>
      </w:r>
    </w:p>
    <w:p>
      <w:pPr>
        <w:pStyle w:val="BulletList"/>
        <w:jc w:val="right"/>
        <w:bidi w:val="1"/>
      </w:pPr>
      <w:r>
        <w:rPr>
          <w:rtl w:val="1"/>
        </w:rPr>
        <w:t>4 Stereo Master FX / 125 Effects הם Capability של ה־Performance/Effects layer.</w:t>
      </w:r>
    </w:p>
    <w:p>
      <w:pPr>
        <w:pStyle w:val="Heading1"/>
        <w:jc w:val="right"/>
        <w:bidi w:val="1"/>
        <w:keepNext/>
      </w:pPr>
      <w:r>
        <w:rPr>
          <w:rtl w:val="1"/>
        </w:rPr>
        <w:t>105. הערת אמת סופית</w:t>
      </w:r>
    </w:p>
    <w:tbl>
      <w:tblPr>
        <w:tblW w:type="auto" w:w="0"/>
        <w:jc w:val="center"/>
        <w:tblLook w:firstColumn="1" w:firstRow="1" w:lastColumn="0" w:lastRow="0" w:noHBand="0" w:noVBand="1" w:val="04A0"/>
      </w:tblPr>
      <w:tblGrid>
        <w:gridCol w:w="10166"/>
      </w:tblGrid>
      <w:tr>
        <w:trPr>
          <w:tblHeader w:val="true"/>
        </w:trPr>
        <w:tc>
          <w:tcPr>
            <w:tcW w:type="dxa" w:w="10166"/>
            <w:shd w:fill="EAF7F1"/>
            <w:tcBorders>
              <w:top w:val="single" w:sz="4" w:color="D9E0E6"/>
              <w:left w:val="single" w:sz="18" w:color="147A5B"/>
              <w:bottom w:val="single" w:sz="4" w:color="D9E0E6"/>
              <w:right w:val="single" w:sz="4" w:color="D9E0E6"/>
            </w:tcBorders>
            <w:tcMar>
              <w:top w:w="140" w:type="dxa"/>
              <w:start w:w="180" w:type="dxa"/>
              <w:bottom w:w="140" w:type="dxa"/>
              <w:end w:w="180" w:type="dxa"/>
            </w:tcMar>
          </w:tcPr>
          <w:p>
            <w:pPr>
              <w:jc w:val="right"/>
              <w:bidi w:val="1"/>
            </w:pPr>
            <w:r>
              <w:rPr>
                <w:b/>
                <w:color w:val="147A5B"/>
                <w:rtl w:val="1"/>
              </w:rPr>
              <w:t>מה “מושלם” כאן אומר</w:t>
            </w:r>
          </w:p>
          <w:p>
            <w:pPr>
              <w:jc w:val="right"/>
              <w:bidi w:val="1"/>
            </w:pPr>
            <w:r>
              <w:rPr>
                <w:rtl w:val="1"/>
              </w:rPr>
              <w:t>המסמך הזה הוא Master Implementation Guide שמגדיר את המוצר, את חמשת השלבים, את גבולותיהם, את מודלי הנתונים, את ה־AI control plane, את ה־Native Compiler, את ה־SET safety ואת ה־QA. הוא אינו טוען מראש ש־Korg Binary fields לא מתועדים כבר ידועים. אלה ייקבעו רק על ידי Reverse Engineering ו־Hardware Evidence.</w:t>
            </w:r>
          </w:p>
        </w:tc>
      </w:tr>
    </w:tbl>
    <w:p/>
    <w:p>
      <w:pPr>
        <w:pStyle w:val="Heading1"/>
        <w:jc w:val="right"/>
        <w:bidi w:val="1"/>
        <w:keepNext/>
      </w:pPr>
      <w:r>
        <w:rPr>
          <w:rtl w:val="1"/>
        </w:rPr>
        <w:t>106. כלל ההפעלה האחרון</w:t>
      </w:r>
    </w:p>
    <w:p>
      <w:pPr>
        <w:pStyle w:val="CodeBlock"/>
        <w:jc w:val="left"/>
        <w:bidi w:val="0"/>
      </w:pPr>
      <w:r>
        <w:rPr>
          <w:rFonts w:ascii="DejaVu Sans Mono" w:hAnsi="DejaVu Sans Mono" w:cs="DejaVu Sans Mono"/>
          <w:rtl w:val="0"/>
        </w:rPr>
        <w:t>Where is the evidence?</w:t>
        <w:br/>
        <w:br/>
        <w:t>אם אין תשובה:</w:t>
        <w:br/>
        <w:t xml:space="preserve">    PRESERVE / REVIEW / UNSUPPORTED</w:t>
        <w:br/>
        <w:br/>
        <w:t>אם יש evidence:</w:t>
        <w:br/>
        <w:t xml:space="preserve">    DOCUMENT</w:t>
        <w:br/>
        <w:t xml:space="preserve">    TEST</w:t>
        <w:br/>
        <w:t xml:space="preserve">    VERIFY</w:t>
        <w:br/>
        <w:t xml:space="preserve">    THEN WRITE</w:t>
      </w:r>
    </w:p>
    <w:p>
      <w:pPr>
        <w:pStyle w:val="BodyText"/>
        <w:jc w:val="right"/>
        <w:bidi w:val="1"/>
      </w:pPr>
      <w:r>
        <w:rPr>
          <w:rtl w:val="1"/>
        </w:rPr>
        <w:t>M2S אינו “מנסה”. הוא מנתח, מתעד, בודק, מקמפל ומאמת. זאת הדרך לשמור על הבקשה המקורית — מקצב מקצועי במהירות גבוהה, מיפוי ל־SET של המשתמש, Native STY וניהול באמצעות AI — בלי להכניס ניחושים לתוך הליבה.</w:t>
      </w:r>
    </w:p>
    <w:sectPr w:rsidR="00FC693F" w:rsidRPr="0006063C" w:rsidSect="00034616">
      <w:headerReference w:type="default" r:id="rId9"/>
      <w:footerReference w:type="default" r:id="rId10"/>
      <w:pgSz w:w="12240" w:h="15840"/>
      <w:pgMar w:top="1008" w:right="1037" w:bottom="936"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Sans Hebrew" w:hAnsi="Noto Sans Hebrew"/>
        <w:color w:val="6B7280"/>
        <w:sz w:val="16"/>
        <w:rtl w:val="1"/>
      </w:rPr>
      <w:t xml:space="preserve">M2S  •  25.09.2026  •  עמוד </w:t>
    </w:r>
    <w:r>
      <w:rPr>
        <w:rFonts w:ascii="Noto Sans Hebrew" w:hAnsi="Noto Sans Hebrew"/>
        <w:color w:val="6B7280"/>
        <w:sz w:val="16"/>
      </w:rPr>
      <w:fldChar w:fldCharType="begin"/>
      <w:instrText xml:space="preserve">PAGE</w:instrText>
      <w:fldChar w:fldCharType="end"/>
    </w:r>
    <w:r>
      <w:rPr>
        <w:rFonts w:ascii="Noto Sans Hebrew" w:hAnsi="Noto Sans Hebrew"/>
        <w:color w:val="6B7280"/>
        <w:sz w:val="16"/>
        <w:rtl w:val="1"/>
      </w:rPr>
      <w:t xml:space="preserve">  |  Master v3.0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Bdr>
        <w:bottom w:val="single" w:sz="4" w:space="2" w:color="D9E0E6"/>
      </w:pBdr>
    </w:pPr>
    <w:r/>
    <w:r>
      <w:rPr>
        <w:rFonts w:ascii="Noto Sans Hebrew" w:hAnsi="Noto Sans Hebrew"/>
        <w:b/>
        <w:color w:val="5B6B7C"/>
        <w:sz w:val="16"/>
        <w:rtl w:val="1"/>
      </w:rPr>
      <w:t>M2S  |  Master Implementation &amp; Development Guide  |  Korg Pa600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Hebrew" w:hAnsi="Noto Sans Hebrew" w:cs="Noto Sans Hebrew"/>
      <w:b w:val="0"/>
      <w:color w:val="1821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Hebrew" w:hAnsi="Noto Sans Hebrew" w:cs="Noto Sans Hebrew"/>
      <w:b/>
      <w:bCs/>
      <w:color w:val="16324F"/>
      <w:sz w:val="4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Hebrew" w:hAnsi="Noto Sans Hebrew" w:cs="Noto Sans Hebrew"/>
      <w:b/>
      <w:bCs/>
      <w:color w:val="2E6FBB"/>
      <w:sz w:val="28"/>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Hebrew" w:hAnsi="Noto Sans Hebrew" w:cs="Noto Sans Hebrew"/>
      <w:b/>
      <w:bCs/>
      <w:color w:val="0D948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Hebrew" w:hAnsi="Noto Sans Hebrew" w:cs="Noto Sans Hebrew"/>
      <w:b w:val="0"/>
      <w:i/>
      <w:iCs/>
      <w:color w:val="18212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Noto Sans Hebrew" w:hAnsi="Noto Sans Hebrew" w:cs="Noto Sans Hebrew"/>
      <w:b w:val="0"/>
      <w:color w:val="18212B"/>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Paragraph">
    <w:name w:val="First Paragraph"/>
    <w:basedOn w:val="Normal"/>
    <w:rPr>
      <w:rFonts w:ascii="Noto Sans Hebrew" w:hAnsi="Noto Sans Hebrew" w:cs="Noto Sans Hebrew"/>
      <w:b w:val="0"/>
      <w:color w:val="18212B"/>
      <w:sz w:val="22"/>
    </w:rPr>
  </w:style>
  <w:style w:type="paragraph" w:customStyle="1" w:styleId="Compact">
    <w:name w:val="Compact"/>
    <w:basedOn w:val="Normal"/>
    <w:pPr>
      <w:spacing w:after="40"/>
    </w:pPr>
    <w:rPr>
      <w:rFonts w:ascii="Noto Sans Hebrew" w:hAnsi="Noto Sans Hebrew" w:cs="Noto Sans Hebrew"/>
      <w:b w:val="0"/>
      <w:color w:val="18212B"/>
      <w:sz w:val="20"/>
    </w:rPr>
  </w:style>
  <w:style w:type="paragraph" w:customStyle="1" w:styleId="SourceNote">
    <w:name w:val="Source Note"/>
    <w:basedOn w:val="Normal"/>
    <w:pPr>
      <w:spacing w:after="80"/>
    </w:pPr>
    <w:rPr>
      <w:rFonts w:ascii="Noto Sans Hebrew" w:hAnsi="Noto Sans Hebrew" w:cs="Noto Sans Hebrew"/>
      <w:b w:val="0"/>
      <w:color w:val="18212B"/>
      <w:sz w:val="17"/>
    </w:rPr>
  </w:style>
  <w:style w:type="paragraph" w:customStyle="1" w:styleId="BulletList">
    <w:name w:val="Bullet List"/>
    <w:basedOn w:val="Normal"/>
    <w:pPr>
      <w:ind w:left="317" w:right="72"/>
    </w:pPr>
    <w:rPr>
      <w:rFonts w:ascii="Noto Sans Hebrew" w:hAnsi="Noto Sans Hebrew" w:cs="Noto Sans Hebrew"/>
      <w:b w:val="0"/>
      <w:color w:val="18212B"/>
      <w:sz w:val="20"/>
    </w:rPr>
  </w:style>
  <w:style w:type="paragraph" w:customStyle="1" w:styleId="NumberedList">
    <w:name w:val="Numbered List"/>
    <w:basedOn w:val="Normal"/>
    <w:pPr>
      <w:ind w:left="317" w:right="72"/>
    </w:pPr>
    <w:rPr>
      <w:rFonts w:ascii="Noto Sans Hebrew" w:hAnsi="Noto Sans Hebrew" w:cs="Noto Sans Hebrew"/>
      <w:b w:val="0"/>
      <w:color w:val="18212B"/>
      <w:sz w:val="20"/>
    </w:rPr>
  </w:style>
  <w:style w:type="paragraph" w:customStyle="1" w:styleId="CodeBlock">
    <w:name w:val="Code Block"/>
    <w:basedOn w:val="Normal"/>
    <w:pPr>
      <w:spacing w:before="80" w:after="120" w:line="240" w:lineRule="auto"/>
      <w:ind w:left="259" w:right="259"/>
    </w:pPr>
    <w:rPr>
      <w:rFonts w:ascii="DejaVu Sans Mono" w:hAnsi="DejaVu Sans Mono" w:cs="DejaVu Sans Mono"/>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korg.com/us/support/download/software/0/90/1509/" TargetMode="External"/><Relationship Id="rId12" Type="http://schemas.openxmlformats.org/officeDocument/2006/relationships/hyperlink" Target="https://www.korg.com/us/products/synthesizers/pa600/" TargetMode="External"/><Relationship Id="rId13" Type="http://schemas.openxmlformats.org/officeDocument/2006/relationships/hyperlink" Target="https://www.korg.com/caen/products/synthesizers/pa600/page_3.php" TargetMode="External"/><Relationship Id="rId14" Type="http://schemas.openxmlformats.org/officeDocument/2006/relationships/hyperlink" Target="https://cdn.korg.com/us/support/download/files/dde158cb091b2cc543ff4036ca6703f1.pdf" TargetMode="External"/><Relationship Id="rId15" Type="http://schemas.openxmlformats.org/officeDocument/2006/relationships/hyperlink" Target="https://essentia.upf.edu/documentation.html" TargetMode="External"/><Relationship Id="rId16" Type="http://schemas.openxmlformats.org/officeDocument/2006/relationships/hyperlink" Target="https://github.com/Music-and-Culture-Technology-Lab/omnizart" TargetMode="External"/><Relationship Id="rId17" Type="http://schemas.openxmlformats.org/officeDocument/2006/relationships/hyperlink" Target="https://github.com/spotify/basic-pitch" TargetMode="External"/><Relationship Id="rId18" Type="http://schemas.openxmlformats.org/officeDocument/2006/relationships/hyperlink" Target="https://github.com/facebookresearch/demu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M2S – Master Implementation &amp; Development Guide v3.0</dc:title>
  <dc:subject>Music-to-Style Engine for Korg Pa600</dc:subject>
  <dc:creator>M2S Project</dc:creator>
  <cp:keywords>Korg Pa600, STY, SET, AI, Drum ADT, Music-to-Style, Style Compiler</cp:keywords>
  <dc:description>10-pass audited implementation guide.</dc:description>
  <cp:lastModifiedBy/>
  <cp:revision>1</cp:revision>
  <dcterms:created xsi:type="dcterms:W3CDTF">2013-12-23T23:15:00Z</dcterms:created>
  <dcterms:modified xsi:type="dcterms:W3CDTF">2013-12-23T23:15:00Z</dcterms:modified>
  <cp:category/>
</cp:coreProperties>
</file>