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B2A5" w14:textId="77777777" w:rsidR="00A85851" w:rsidRDefault="00A85851">
      <w:pPr>
        <w:rPr>
          <w:rtl/>
        </w:rPr>
      </w:pPr>
      <w:r>
        <w:rPr>
          <w:rFonts w:hint="cs"/>
          <w:rtl/>
        </w:rPr>
        <w:t xml:space="preserve">א' עיין סעיף ד'. והכא מותר אפילו בלא הפ"מ ט"ז. </w:t>
      </w:r>
    </w:p>
    <w:p w14:paraId="6465A5D1" w14:textId="0B62BF2E" w:rsidR="0046575B" w:rsidRDefault="00A85851">
      <w:pPr>
        <w:rPr>
          <w:rtl/>
        </w:rPr>
      </w:pPr>
      <w:r>
        <w:rPr>
          <w:rFonts w:hint="cs"/>
          <w:rtl/>
        </w:rPr>
        <w:t xml:space="preserve">(מה) </w:t>
      </w:r>
      <w:r w:rsidRPr="00A85851">
        <w:rPr>
          <w:rFonts w:hint="cs"/>
          <w:b/>
          <w:bCs/>
          <w:rtl/>
        </w:rPr>
        <w:t>כנגדו.</w:t>
      </w:r>
      <w:r>
        <w:rPr>
          <w:rFonts w:hint="cs"/>
          <w:rtl/>
        </w:rPr>
        <w:t xml:space="preserve"> והחתיכה עצמה אסורה אף דאיכא ס' ש"ך.</w:t>
      </w:r>
    </w:p>
    <w:p w14:paraId="49FDDC08" w14:textId="335A4007" w:rsidR="00A85851" w:rsidRDefault="0078026B" w:rsidP="00A85851">
      <w:pPr>
        <w:rPr>
          <w:rtl/>
        </w:rPr>
      </w:pPr>
      <w:r>
        <w:rPr>
          <w:rFonts w:hint="cs"/>
          <w:rtl/>
        </w:rPr>
        <w:t>(</w:t>
      </w:r>
      <w:r w:rsidR="00A85851">
        <w:rPr>
          <w:rFonts w:hint="cs"/>
          <w:rtl/>
        </w:rPr>
        <w:t>מו</w:t>
      </w:r>
      <w:r>
        <w:rPr>
          <w:rFonts w:hint="cs"/>
          <w:rtl/>
        </w:rPr>
        <w:t>)</w:t>
      </w:r>
      <w:r w:rsidR="00A85851">
        <w:rPr>
          <w:rFonts w:hint="cs"/>
          <w:rtl/>
        </w:rPr>
        <w:t xml:space="preserve"> </w:t>
      </w:r>
      <w:r w:rsidR="00A85851" w:rsidRPr="0078026B">
        <w:rPr>
          <w:rFonts w:hint="cs"/>
          <w:b/>
          <w:bCs/>
          <w:rtl/>
        </w:rPr>
        <w:t>לא יבשלנו.</w:t>
      </w:r>
      <w:r w:rsidR="00A85851">
        <w:rPr>
          <w:rFonts w:hint="cs"/>
          <w:rtl/>
        </w:rPr>
        <w:t xml:space="preserve"> דשמא לא יצא כל דמו על ידי צליה ועל ידי בישול יצא דהבישול פועל יותר מצלי. ואם בישלו מותר דתולין לומר שיצא הכל על ידי צליה. ולצלי מותר בלא מליחה רק לכתחילה צריך קצת מליחה כשאר צלי ואפילו לא ניקר אותו מגידי הדם קודם ג' ימים מותר לצלי ועיין לעיל סי' ס"ד דלכתחילה יש לנקרו קודם ג' ימים ובדיעבד מותר אפילו לקדרה ש"ך. ואיין ט"ז ד</w:t>
      </w:r>
      <w:r>
        <w:rPr>
          <w:rFonts w:hint="cs"/>
          <w:rtl/>
        </w:rPr>
        <w:t>א</w:t>
      </w:r>
      <w:r w:rsidR="00A85851">
        <w:rPr>
          <w:rFonts w:hint="cs"/>
          <w:rtl/>
        </w:rPr>
        <w:t>ם מלח בשר ששהא ג' ימים בכלי מנוקב ואחר כך מלחוהו בכשא"מ דמותר דממ</w:t>
      </w:r>
      <w:r>
        <w:rPr>
          <w:rFonts w:hint="cs"/>
          <w:rtl/>
        </w:rPr>
        <w:t>"</w:t>
      </w:r>
      <w:r w:rsidR="00A85851">
        <w:rPr>
          <w:rFonts w:hint="cs"/>
          <w:rtl/>
        </w:rPr>
        <w:t>נ אם המליחה פועל לרככו כדעת הריב"ש הרי יצא הדם במליחה ראשונה ואי אין המליחה פועל כדעת הגאונים אף במליחה שניה לא יצא. והש"ך בנקודות הכסף חולק ואוסר. ואם שהא הבשר בהכלי שא"מ שיעור כבישה בהציר שהיה זב ממנה לתוך הכלי שא"מ נאסר מטעם כבוש כמבושל אף שלהט"ז ואם מלח בשר ששהא ג"י עם שאר בשר שמלחו להוציא דם נאסר הבשר ששהא דבולע מהדם שיוצא משאר הבשר כיון שאינו מפליט. והש"ך בנקודות הכסף מתיר דמ"מ פולט קצת ואמרינ"ן איידי דיפלוט יפלוט ואם מלח בשר שהודח הדחה אחרונה בכשא"מ עם הבשר ששהא ג"י אסור הבשר כשר ובכמ"נ כשר. עיין ביאורים ס"ק כ"ב. עוד כתב הט"ז אדם מלחו וצלאו דמותר לבשלו לכתיחלה והמנחת יעקב אוסר ובהפ"מ או לכבוד שבת מותר. ובכל הנ"ל יש לסמוך אהמיקל כיון דהוא רק חמותר הגאונים ושומן ששהא ג' ימים הדין כמו בבשר. ויש להתיר על ידי בישור במים בס' אחר המחליחה דלא הוי מבטל איסור ל</w:t>
      </w:r>
      <w:r w:rsidR="00CD35BE">
        <w:rPr>
          <w:rFonts w:hint="cs"/>
          <w:rtl/>
        </w:rPr>
        <w:t>כתחילה כיון דבהפ"מ סמכינן אהמחבר בסעיף י"א עט"ז ס"ק כ"ז והמים שבלעו איסור ישפ</w:t>
      </w:r>
      <w:r w:rsidR="009C54F2">
        <w:rPr>
          <w:rFonts w:hint="cs"/>
          <w:rtl/>
        </w:rPr>
        <w:t>כ</w:t>
      </w:r>
      <w:r w:rsidR="00CD35BE">
        <w:rPr>
          <w:rFonts w:hint="cs"/>
          <w:rtl/>
        </w:rPr>
        <w:t xml:space="preserve">ו ואין זה מבטל איסור. </w:t>
      </w:r>
      <w:r w:rsidR="004C71CD">
        <w:rPr>
          <w:rFonts w:hint="cs"/>
          <w:rtl/>
        </w:rPr>
        <w:t>הטעם שיחזור ויבלע השומן מהמים אין זה ביטול איסור דהבליעה בא אחר הביטול. ועוד דכוונתינו להתוך השומן דמיא קצת לס' פ"ד סעיף י"ג. אבל לערבו בשומן אחר עד ס' נראה דאסור.</w:t>
      </w:r>
    </w:p>
    <w:p w14:paraId="2EC2194E" w14:textId="27BCA4C8" w:rsidR="004C71CD" w:rsidRDefault="004C71CD" w:rsidP="00A85851">
      <w:pPr>
        <w:rPr>
          <w:rtl/>
        </w:rPr>
      </w:pPr>
      <w:r>
        <w:rPr>
          <w:rFonts w:hint="cs"/>
          <w:rtl/>
        </w:rPr>
        <w:t xml:space="preserve">(מז) </w:t>
      </w:r>
      <w:r>
        <w:rPr>
          <w:rFonts w:hint="cs"/>
          <w:b/>
          <w:bCs/>
          <w:rtl/>
        </w:rPr>
        <w:t>ואם שרו.</w:t>
      </w:r>
      <w:r>
        <w:rPr>
          <w:rFonts w:hint="cs"/>
          <w:rtl/>
        </w:rPr>
        <w:t xml:space="preserve"> בניקרא ממיטי דה סגי בהעברה בעלמא בדיעבד שלא נחשוב אותו בשהא ג' ובלא ניקרו אין די בהעברה ובענין שריה ט"ז. ובתשובת מ,ב סי' ק"כ מתיר בהעברה אף שלא נקרו מגידי דם. וכשהבשר קרוש לא מהני שריה.</w:t>
      </w:r>
    </w:p>
    <w:p w14:paraId="238D470D" w14:textId="0B738254" w:rsidR="004C71CD" w:rsidRDefault="004C71CD" w:rsidP="00A85851">
      <w:pPr>
        <w:rPr>
          <w:rtl/>
        </w:rPr>
      </w:pPr>
      <w:r>
        <w:rPr>
          <w:rFonts w:hint="cs"/>
          <w:rtl/>
        </w:rPr>
        <w:t xml:space="preserve">(מח) </w:t>
      </w:r>
      <w:r w:rsidRPr="004C71CD">
        <w:rPr>
          <w:rFonts w:hint="cs"/>
          <w:b/>
          <w:bCs/>
          <w:rtl/>
        </w:rPr>
        <w:t>ונתערבה אותה חתיכה באחרות.</w:t>
      </w:r>
      <w:r>
        <w:rPr>
          <w:rFonts w:hint="cs"/>
          <w:b/>
          <w:bCs/>
          <w:rtl/>
        </w:rPr>
        <w:t xml:space="preserve"> </w:t>
      </w:r>
      <w:r>
        <w:rPr>
          <w:rFonts w:hint="cs"/>
          <w:rtl/>
        </w:rPr>
        <w:t>פירוש באחרות שלא נמלאו מותרין אחר שימלחו כולן. או דמיירי שנתערבה חתיכה שנמלחה אחר ששהא ג' ימים בשנים אחרים שנמלחו קודם ששהו דמותר לבשל כולן בלא מליחה. ודוקא לבשל כ"א בפני עצמו או כולן ביחד ולהרבות עליהן עד ס' כדלקמן סי' ק"ט ש"ך.</w:t>
      </w:r>
    </w:p>
    <w:p w14:paraId="7972DB75" w14:textId="5A22B2BD" w:rsidR="004C71CD" w:rsidRDefault="004C71CD" w:rsidP="00A85851">
      <w:pPr>
        <w:rPr>
          <w:rtl/>
        </w:rPr>
      </w:pPr>
      <w:r>
        <w:rPr>
          <w:rFonts w:hint="cs"/>
          <w:rtl/>
        </w:rPr>
        <w:t xml:space="preserve">(מט) </w:t>
      </w:r>
      <w:r>
        <w:rPr>
          <w:rFonts w:hint="cs"/>
          <w:b/>
          <w:bCs/>
          <w:rtl/>
        </w:rPr>
        <w:t xml:space="preserve">להתכבד. </w:t>
      </w:r>
      <w:r>
        <w:rPr>
          <w:rFonts w:hint="cs"/>
          <w:rtl/>
        </w:rPr>
        <w:t>דאין איסום מחמת עצמה רק מחמת דם הבלוע והדם אינו ראוי להתכבד.</w:t>
      </w:r>
    </w:p>
    <w:p w14:paraId="47EB4B29" w14:textId="703848F5" w:rsidR="004C71CD" w:rsidRDefault="004C71CD" w:rsidP="00A85851">
      <w:pPr>
        <w:rPr>
          <w:rtl/>
        </w:rPr>
      </w:pPr>
      <w:r>
        <w:rPr>
          <w:rFonts w:hint="cs"/>
          <w:rtl/>
        </w:rPr>
        <w:t xml:space="preserve">(נ) </w:t>
      </w:r>
      <w:r>
        <w:rPr>
          <w:rFonts w:hint="cs"/>
          <w:b/>
          <w:bCs/>
          <w:rtl/>
        </w:rPr>
        <w:t xml:space="preserve">בלא מליחה. </w:t>
      </w:r>
      <w:r>
        <w:rPr>
          <w:rFonts w:hint="cs"/>
          <w:rtl/>
        </w:rPr>
        <w:t>בכאן צריך דוקא ס' מחשש דשמא יבשלם ויתן טעם כמו בסי' ק"ט דדויקא בבשר ששהא ג' ימים שאין בו רק גזירת הגאונים מותר ברוב משא"כ בזה ש"ך. והכרתי ופלתי מתיר אף בזה ברוב עיין ביאורים ס"ק כ'.</w:t>
      </w:r>
      <w:r w:rsidR="00094932">
        <w:rPr>
          <w:rFonts w:hint="cs"/>
          <w:rtl/>
        </w:rPr>
        <w:t xml:space="preserve"> וכתב הט"ז שאם נתערב חתיכה שלא נמלחה בחתיכות שנמלחו אין צריך למלח כולן דלא הוי דשיל"מ כיון דצריך הוצאה.</w:t>
      </w:r>
    </w:p>
    <w:p w14:paraId="3E422A74" w14:textId="7D5FE33C" w:rsidR="00094932" w:rsidRDefault="00094932" w:rsidP="00A85851">
      <w:pPr>
        <w:rPr>
          <w:rtl/>
        </w:rPr>
      </w:pPr>
      <w:r>
        <w:rPr>
          <w:rFonts w:hint="cs"/>
          <w:rtl/>
        </w:rPr>
        <w:t xml:space="preserve">(נא) </w:t>
      </w:r>
      <w:r>
        <w:rPr>
          <w:rFonts w:hint="cs"/>
          <w:b/>
          <w:bCs/>
          <w:rtl/>
        </w:rPr>
        <w:t xml:space="preserve">מלוכלך. </w:t>
      </w:r>
      <w:r>
        <w:rPr>
          <w:rFonts w:hint="cs"/>
          <w:rtl/>
        </w:rPr>
        <w:t>לאו דוקא ובין מלוכלך ובין אינו מלוחלך הדין שוה דלא חשיב דם בעין כיון שמעורב במים ש"ך.</w:t>
      </w:r>
    </w:p>
    <w:p w14:paraId="4D3117A9" w14:textId="1B9AAE89" w:rsidR="00094932" w:rsidRDefault="00094932" w:rsidP="00A85851">
      <w:pPr>
        <w:rPr>
          <w:rtl/>
        </w:rPr>
      </w:pPr>
      <w:r>
        <w:rPr>
          <w:rFonts w:hint="cs"/>
          <w:rtl/>
        </w:rPr>
        <w:t xml:space="preserve">(נב) </w:t>
      </w:r>
      <w:r>
        <w:rPr>
          <w:rFonts w:hint="cs"/>
          <w:b/>
          <w:bCs/>
          <w:rtl/>
        </w:rPr>
        <w:t xml:space="preserve">כנגדו. </w:t>
      </w:r>
      <w:r>
        <w:rPr>
          <w:rFonts w:hint="cs"/>
          <w:rtl/>
        </w:rPr>
        <w:t>ואז החתיכה עצמה ג"כ מותרת ע"י מליחה ורש"ל אוסר החתיכה. ומ"מ יש לסמוך אהרמ"א להתירו לצלי.</w:t>
      </w:r>
    </w:p>
    <w:p w14:paraId="16CD644F" w14:textId="18797556" w:rsidR="00094932" w:rsidRDefault="00094932" w:rsidP="00A85851">
      <w:pPr>
        <w:rPr>
          <w:rtl/>
        </w:rPr>
      </w:pPr>
      <w:r>
        <w:rPr>
          <w:rFonts w:hint="cs"/>
          <w:rtl/>
        </w:rPr>
        <w:t xml:space="preserve">(נג) </w:t>
      </w:r>
      <w:r>
        <w:rPr>
          <w:rFonts w:hint="cs"/>
          <w:b/>
          <w:bCs/>
          <w:rtl/>
        </w:rPr>
        <w:t xml:space="preserve">אוסרים. </w:t>
      </w:r>
      <w:r>
        <w:rPr>
          <w:rFonts w:hint="cs"/>
          <w:rtl/>
        </w:rPr>
        <w:t>אפי' אינו מלוכלך.</w:t>
      </w:r>
    </w:p>
    <w:p w14:paraId="711635BE" w14:textId="0829547A" w:rsidR="00094932" w:rsidRDefault="00094932" w:rsidP="00A85851">
      <w:pPr>
        <w:rPr>
          <w:rtl/>
        </w:rPr>
      </w:pPr>
      <w:r>
        <w:rPr>
          <w:rFonts w:hint="cs"/>
          <w:rtl/>
        </w:rPr>
        <w:t xml:space="preserve">(נד) </w:t>
      </w:r>
      <w:r>
        <w:rPr>
          <w:rFonts w:hint="cs"/>
          <w:b/>
          <w:bCs/>
          <w:rtl/>
        </w:rPr>
        <w:t xml:space="preserve">ובדעבד. </w:t>
      </w:r>
      <w:r>
        <w:rPr>
          <w:rFonts w:hint="cs"/>
          <w:rtl/>
        </w:rPr>
        <w:t>זה לא קאי אמ"ש בענין שאם ישפך שם מים גבזה אפי' דיעבד אסור כל שהמים מתכנסים למקום אחד דהוי ככשא"מ. ס"ז.</w:t>
      </w:r>
    </w:p>
    <w:p w14:paraId="2564EF73" w14:textId="7B1BB542" w:rsidR="00094932" w:rsidRDefault="00094932" w:rsidP="00A85851">
      <w:pPr>
        <w:rPr>
          <w:rtl/>
        </w:rPr>
      </w:pPr>
      <w:r>
        <w:rPr>
          <w:rFonts w:hint="cs"/>
          <w:rtl/>
        </w:rPr>
        <w:t xml:space="preserve">(נה) </w:t>
      </w:r>
      <w:r>
        <w:rPr>
          <w:rFonts w:hint="cs"/>
          <w:b/>
          <w:bCs/>
          <w:rtl/>
        </w:rPr>
        <w:t xml:space="preserve">רותח. </w:t>
      </w:r>
      <w:r>
        <w:rPr>
          <w:rFonts w:hint="cs"/>
          <w:rtl/>
        </w:rPr>
        <w:t>אפילו הודח הכלי.</w:t>
      </w:r>
    </w:p>
    <w:p w14:paraId="7D266F7E" w14:textId="7253FC0A" w:rsidR="00094932" w:rsidRDefault="00094932" w:rsidP="00A85851">
      <w:pPr>
        <w:rPr>
          <w:rtl/>
        </w:rPr>
      </w:pPr>
      <w:r>
        <w:rPr>
          <w:rFonts w:hint="cs"/>
          <w:rtl/>
        </w:rPr>
        <w:t xml:space="preserve">(נו) </w:t>
      </w:r>
      <w:r>
        <w:rPr>
          <w:rFonts w:hint="cs"/>
          <w:b/>
          <w:bCs/>
          <w:rtl/>
        </w:rPr>
        <w:t xml:space="preserve">קליפה. </w:t>
      </w:r>
      <w:r>
        <w:rPr>
          <w:rFonts w:hint="cs"/>
          <w:rtl/>
        </w:rPr>
        <w:t>דהקדרה לא נאסר רק נ"ק בשעת מליחה ואפי' נכבש בציר כשיעור שיתן על האש ויתחיל להרתיח ועיין פרי מגדים.</w:t>
      </w:r>
    </w:p>
    <w:p w14:paraId="5BE98949" w14:textId="726A0A99" w:rsidR="00094932" w:rsidRDefault="00094932" w:rsidP="00A85851">
      <w:pPr>
        <w:rPr>
          <w:rtl/>
        </w:rPr>
      </w:pPr>
      <w:r>
        <w:rPr>
          <w:rFonts w:hint="cs"/>
          <w:rtl/>
        </w:rPr>
        <w:t xml:space="preserve">(נז) </w:t>
      </w:r>
      <w:r>
        <w:rPr>
          <w:rFonts w:hint="cs"/>
          <w:b/>
          <w:bCs/>
          <w:rtl/>
        </w:rPr>
        <w:t xml:space="preserve">מן הקערה. </w:t>
      </w:r>
      <w:r>
        <w:rPr>
          <w:rFonts w:hint="cs"/>
          <w:rtl/>
        </w:rPr>
        <w:t xml:space="preserve">מיירי שהקערה קר וצריך ס' נגד הקליפה מהמאכל במקום שנגע ואף דבסי' צ"א מבואר דבמקום שא"א לקלוף והקליפה אינו בעין אין צריך ס' הכא כיון דהרבה פוסחים ס"ל דהקערה אחר מליחה ותר אף דלא קיי"ל כן מ"מ </w:t>
      </w:r>
      <w:r>
        <w:rPr>
          <w:rFonts w:hint="cs"/>
          <w:rtl/>
        </w:rPr>
        <w:lastRenderedPageBreak/>
        <w:t>יש להחמיר כריב"א דמצריך לעולם ס' נגד הקליפה וכשהקערה חם אם הוא דבר יבש לגמרי א"צ רק קליפה וכשיש בו רטיבות קצת צריך ס' לדידן ש"ך.</w:t>
      </w:r>
    </w:p>
    <w:p w14:paraId="5D7AACD6" w14:textId="1CE0576D" w:rsidR="00094932" w:rsidRPr="00094932" w:rsidRDefault="00094932" w:rsidP="00A85851">
      <w:pPr>
        <w:rPr>
          <w:rtl/>
        </w:rPr>
      </w:pPr>
      <w:r>
        <w:rPr>
          <w:rFonts w:hint="cs"/>
          <w:rtl/>
        </w:rPr>
        <w:t xml:space="preserve">(נח) </w:t>
      </w:r>
      <w:r>
        <w:rPr>
          <w:rFonts w:hint="cs"/>
          <w:b/>
          <w:bCs/>
          <w:rtl/>
        </w:rPr>
        <w:t xml:space="preserve">הדחה. </w:t>
      </w:r>
      <w:r>
        <w:rPr>
          <w:rFonts w:hint="cs"/>
          <w:rtl/>
        </w:rPr>
        <w:t>עש"ך דבכלי חרס צריך הדחה ובשאר כלים סגי בקינוח.</w:t>
      </w:r>
    </w:p>
    <w:sectPr w:rsidR="00094932" w:rsidRPr="00094932" w:rsidSect="00CD55BF">
      <w:pgSz w:w="11906" w:h="16838" w:code="9"/>
      <w:pgMar w:top="1440" w:right="851" w:bottom="144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FT_Frank">
    <w:panose1 w:val="01000503000000020003"/>
    <w:charset w:val="B1"/>
    <w:family w:val="auto"/>
    <w:pitch w:val="variable"/>
    <w:sig w:usb0="80000827" w:usb1="5000004A"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FT_Ivri">
    <w:panose1 w:val="01000503000000020003"/>
    <w:charset w:val="B1"/>
    <w:family w:val="auto"/>
    <w:pitch w:val="variable"/>
    <w:sig w:usb0="80000827" w:usb1="5000004A"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51"/>
    <w:rsid w:val="00094932"/>
    <w:rsid w:val="001267EF"/>
    <w:rsid w:val="001A694E"/>
    <w:rsid w:val="001E463B"/>
    <w:rsid w:val="001F4621"/>
    <w:rsid w:val="00245B1E"/>
    <w:rsid w:val="002D7202"/>
    <w:rsid w:val="0031756D"/>
    <w:rsid w:val="003E27D3"/>
    <w:rsid w:val="0046575B"/>
    <w:rsid w:val="004A09E5"/>
    <w:rsid w:val="004C71CD"/>
    <w:rsid w:val="006A4046"/>
    <w:rsid w:val="006D6D83"/>
    <w:rsid w:val="0078026B"/>
    <w:rsid w:val="007A7510"/>
    <w:rsid w:val="007B4CDF"/>
    <w:rsid w:val="007C3E45"/>
    <w:rsid w:val="007D0EFE"/>
    <w:rsid w:val="008700B8"/>
    <w:rsid w:val="009C54F2"/>
    <w:rsid w:val="00A85851"/>
    <w:rsid w:val="00AE7F88"/>
    <w:rsid w:val="00B268E6"/>
    <w:rsid w:val="00B62001"/>
    <w:rsid w:val="00B739A5"/>
    <w:rsid w:val="00BE79DF"/>
    <w:rsid w:val="00C103C1"/>
    <w:rsid w:val="00C7400B"/>
    <w:rsid w:val="00CA62F1"/>
    <w:rsid w:val="00CD35BE"/>
    <w:rsid w:val="00CD55BF"/>
    <w:rsid w:val="00DA54A2"/>
    <w:rsid w:val="00EE3A26"/>
    <w:rsid w:val="00F14E1C"/>
    <w:rsid w:val="00F162EF"/>
    <w:rsid w:val="00FC7E16"/>
    <w:rsid w:val="00FE5B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BA38"/>
  <w15:chartTrackingRefBased/>
  <w15:docId w15:val="{ED423D2C-C53E-4C78-B7A6-EE5334B1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PFT_Frank"/>
        <w:kern w:val="2"/>
        <w:sz w:val="22"/>
        <w:szCs w:val="22"/>
        <w:lang w:val="en-US" w:eastAsia="en-US" w:bidi="he-IL"/>
        <w14:ligatures w14:val="standardContextual"/>
      </w:rPr>
    </w:rPrDefault>
    <w:pPrDefault>
      <w:pPr>
        <w:bidi/>
        <w:spacing w:after="160" w:line="259" w:lineRule="auto"/>
        <w:ind w:firstLine="284"/>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E1C"/>
    <w:pPr>
      <w:ind w:firstLine="232"/>
    </w:pPr>
    <w:rPr>
      <w:kern w:val="0"/>
      <w:sz w:val="24"/>
      <w14:ligatures w14:val="none"/>
    </w:rPr>
  </w:style>
  <w:style w:type="paragraph" w:styleId="1">
    <w:name w:val="heading 1"/>
    <w:aliases w:val="בענין"/>
    <w:basedOn w:val="a"/>
    <w:next w:val="a"/>
    <w:link w:val="10"/>
    <w:uiPriority w:val="1"/>
    <w:qFormat/>
    <w:rsid w:val="00F14E1C"/>
    <w:pPr>
      <w:keepNext/>
      <w:keepLines/>
      <w:spacing w:before="720" w:after="480"/>
      <w:jc w:val="center"/>
      <w:outlineLvl w:val="0"/>
    </w:pPr>
    <w:rPr>
      <w:rFonts w:asciiTheme="majorHAnsi" w:eastAsiaTheme="majorEastAsia" w:hAnsiTheme="majorHAnsi" w:cs="PFT_Ivri"/>
      <w:bCs/>
      <w:sz w:val="32"/>
      <w:szCs w:val="40"/>
    </w:rPr>
  </w:style>
  <w:style w:type="paragraph" w:styleId="2">
    <w:name w:val="heading 2"/>
    <w:basedOn w:val="a"/>
    <w:next w:val="a"/>
    <w:link w:val="20"/>
    <w:uiPriority w:val="9"/>
    <w:unhideWhenUsed/>
    <w:qFormat/>
    <w:rsid w:val="00F14E1C"/>
    <w:pPr>
      <w:keepNext/>
      <w:keepLines/>
      <w:spacing w:before="40" w:after="0"/>
      <w:jc w:val="left"/>
      <w:outlineLvl w:val="1"/>
    </w:pPr>
    <w:rPr>
      <w:rFonts w:asciiTheme="majorHAnsi" w:eastAsiaTheme="majorEastAsia" w:hAnsiTheme="majorHAnsi"/>
      <w:bCs/>
      <w:sz w:val="26"/>
      <w:szCs w:val="26"/>
    </w:rPr>
  </w:style>
  <w:style w:type="paragraph" w:styleId="3">
    <w:name w:val="heading 3"/>
    <w:basedOn w:val="a"/>
    <w:next w:val="a"/>
    <w:link w:val="30"/>
    <w:uiPriority w:val="9"/>
    <w:unhideWhenUsed/>
    <w:qFormat/>
    <w:rsid w:val="001267EF"/>
    <w:pPr>
      <w:keepNext/>
      <w:keepLines/>
      <w:spacing w:before="40" w:after="0"/>
      <w:outlineLvl w:val="2"/>
    </w:pPr>
    <w:rPr>
      <w:rFonts w:asciiTheme="majorHAnsi" w:eastAsiaTheme="majorEastAsia" w:hAnsiTheme="majorHAnsi" w:cs="PFT_Ivri"/>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בענין תו"/>
    <w:basedOn w:val="a0"/>
    <w:link w:val="1"/>
    <w:uiPriority w:val="1"/>
    <w:rsid w:val="00F14E1C"/>
    <w:rPr>
      <w:rFonts w:asciiTheme="majorHAnsi" w:eastAsiaTheme="majorEastAsia" w:hAnsiTheme="majorHAnsi" w:cs="PFT_Ivri"/>
      <w:bCs/>
      <w:kern w:val="0"/>
      <w:sz w:val="32"/>
      <w:szCs w:val="40"/>
      <w14:ligatures w14:val="none"/>
    </w:rPr>
  </w:style>
  <w:style w:type="character" w:customStyle="1" w:styleId="20">
    <w:name w:val="כותרת 2 תו"/>
    <w:basedOn w:val="a0"/>
    <w:link w:val="2"/>
    <w:uiPriority w:val="9"/>
    <w:rsid w:val="00F14E1C"/>
    <w:rPr>
      <w:rFonts w:asciiTheme="majorHAnsi" w:eastAsiaTheme="majorEastAsia" w:hAnsiTheme="majorHAnsi"/>
      <w:bCs/>
      <w:kern w:val="0"/>
      <w:sz w:val="26"/>
      <w:szCs w:val="26"/>
      <w14:ligatures w14:val="none"/>
    </w:rPr>
  </w:style>
  <w:style w:type="paragraph" w:styleId="a3">
    <w:name w:val="footnote text"/>
    <w:basedOn w:val="a"/>
    <w:link w:val="a4"/>
    <w:uiPriority w:val="99"/>
    <w:semiHidden/>
    <w:unhideWhenUsed/>
    <w:rsid w:val="00C7400B"/>
    <w:pPr>
      <w:spacing w:after="0" w:line="240" w:lineRule="auto"/>
    </w:pPr>
    <w:rPr>
      <w:sz w:val="20"/>
      <w:szCs w:val="20"/>
    </w:rPr>
  </w:style>
  <w:style w:type="character" w:customStyle="1" w:styleId="a4">
    <w:name w:val="טקסט הערת שוליים תו"/>
    <w:basedOn w:val="a0"/>
    <w:link w:val="a3"/>
    <w:uiPriority w:val="99"/>
    <w:semiHidden/>
    <w:rsid w:val="00C7400B"/>
    <w:rPr>
      <w:sz w:val="20"/>
      <w:szCs w:val="20"/>
    </w:rPr>
  </w:style>
  <w:style w:type="character" w:styleId="a5">
    <w:name w:val="footnote reference"/>
    <w:basedOn w:val="a0"/>
    <w:uiPriority w:val="99"/>
    <w:semiHidden/>
    <w:unhideWhenUsed/>
    <w:rsid w:val="00C7400B"/>
    <w:rPr>
      <w:vertAlign w:val="superscript"/>
    </w:rPr>
  </w:style>
  <w:style w:type="paragraph" w:styleId="a6">
    <w:name w:val="No Spacing"/>
    <w:uiPriority w:val="9"/>
    <w:qFormat/>
    <w:rsid w:val="00F14E1C"/>
    <w:pPr>
      <w:spacing w:after="0" w:line="240" w:lineRule="auto"/>
    </w:pPr>
  </w:style>
  <w:style w:type="character" w:styleId="a7">
    <w:name w:val="Subtle Emphasis"/>
    <w:aliases w:val="ובו י' סעיפים"/>
    <w:basedOn w:val="a0"/>
    <w:uiPriority w:val="19"/>
    <w:qFormat/>
    <w:rsid w:val="00F14E1C"/>
    <w:rPr>
      <w:rFonts w:cstheme="majorBidi"/>
      <w:bCs w:val="0"/>
      <w:i/>
      <w:iCs w:val="0"/>
      <w:color w:val="auto"/>
      <w:szCs w:val="28"/>
    </w:rPr>
  </w:style>
  <w:style w:type="paragraph" w:customStyle="1" w:styleId="a8">
    <w:name w:val="סעיף א'"/>
    <w:basedOn w:val="a"/>
    <w:link w:val="a9"/>
    <w:qFormat/>
    <w:rsid w:val="00F14E1C"/>
    <w:pPr>
      <w:jc w:val="left"/>
    </w:pPr>
    <w:rPr>
      <w:rFonts w:asciiTheme="majorBidi" w:hAnsiTheme="majorBidi" w:cstheme="majorBidi"/>
      <w:b/>
      <w:bCs/>
      <w:sz w:val="36"/>
      <w:szCs w:val="32"/>
    </w:rPr>
  </w:style>
  <w:style w:type="character" w:customStyle="1" w:styleId="a9">
    <w:name w:val="סעיף א' תו"/>
    <w:basedOn w:val="a0"/>
    <w:link w:val="a8"/>
    <w:rsid w:val="00F14E1C"/>
    <w:rPr>
      <w:rFonts w:asciiTheme="majorBidi" w:hAnsiTheme="majorBidi" w:cstheme="majorBidi"/>
      <w:b/>
      <w:bCs/>
      <w:kern w:val="0"/>
      <w:sz w:val="36"/>
      <w:szCs w:val="32"/>
      <w14:ligatures w14:val="none"/>
    </w:rPr>
  </w:style>
  <w:style w:type="character" w:customStyle="1" w:styleId="30">
    <w:name w:val="כותרת 3 תו"/>
    <w:basedOn w:val="a0"/>
    <w:link w:val="3"/>
    <w:uiPriority w:val="9"/>
    <w:rsid w:val="001267EF"/>
    <w:rPr>
      <w:rFonts w:asciiTheme="majorHAnsi" w:eastAsiaTheme="majorEastAsia" w:hAnsiTheme="majorHAnsi" w:cs="PFT_Ivri"/>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541</Words>
  <Characters>2705</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חיים</dc:creator>
  <cp:keywords/>
  <dc:description/>
  <cp:lastModifiedBy>חיים</cp:lastModifiedBy>
  <cp:revision>5</cp:revision>
  <dcterms:created xsi:type="dcterms:W3CDTF">2025-11-23T18:40:00Z</dcterms:created>
  <dcterms:modified xsi:type="dcterms:W3CDTF">2025-11-24T00:14:00Z</dcterms:modified>
</cp:coreProperties>
</file>