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E1333" w14:textId="268063E9" w:rsidR="0046575B" w:rsidRDefault="00984140">
      <w:pPr>
        <w:rPr>
          <w:rtl/>
        </w:rPr>
      </w:pPr>
      <w:r>
        <w:rPr>
          <w:rFonts w:hint="cs"/>
          <w:rtl/>
        </w:rPr>
        <w:t>תרתי דסתרי:</w:t>
      </w:r>
    </w:p>
    <w:p w14:paraId="706878E5" w14:textId="78626A7C" w:rsidR="00984140" w:rsidRDefault="00984140">
      <w:pPr>
        <w:rPr>
          <w:rtl/>
        </w:rPr>
      </w:pPr>
      <w:r>
        <w:rPr>
          <w:rFonts w:hint="cs"/>
          <w:rtl/>
        </w:rPr>
        <w:t xml:space="preserve">(יח) </w:t>
      </w:r>
      <w:r>
        <w:rPr>
          <w:rFonts w:hint="cs"/>
          <w:b/>
          <w:bCs/>
          <w:rtl/>
        </w:rPr>
        <w:t xml:space="preserve">בשר ששהא ג' ימים. </w:t>
      </w:r>
      <w:r>
        <w:rPr>
          <w:rFonts w:hint="cs"/>
          <w:rtl/>
        </w:rPr>
        <w:t xml:space="preserve">עיין ט"ז ס"ק ל"ב אין כאן היתר לומר כמו שיפלוט דם שלו יפלוט גם כן מה שבלע וכו' ואין להקשות הא על ידי צלי יוצא דם שלו ואם כן הכי יש לומר איידי דיפלוט. דזה אינו דכיון דבשעת מליחה לא היה המלח יכול לעשות פעולת פליטה עשה פעולת בליעה ושוב אינו יוצא על ידי צליה כמו במולח בלי הדחה כמ"ש בביאורים בס"ק א'. ולא קשיא גם כן מה שהקשה הרב בעל מנחת יעקב אהא שכתב הט"ז באם מלח הבשר ששהא עם הבשר שנמלח והודח בכהא"מ </w:t>
      </w:r>
      <w:r w:rsidR="002C1F80">
        <w:rPr>
          <w:rFonts w:hint="cs"/>
          <w:rtl/>
        </w:rPr>
        <w:t>זו"ל ממה נפשך אי סובר דהדחה סותמת פליטת ציר אפילו בכלי נוקב אסור ואי סובר דלא נסתמו אפילו בכשא"מ מותר מטעמא דאיידי דיפלוט ציר יפלוט דם. ולפמ"ש לא קשה דהרב ט"ז סובר דהדחה אינה סותמת הפליטה וכמ"ש בסי' ע' ואפ"ה בכשא"מ דכמו חתיכה שנמלחה בדם של עצמה אסורה בכשא"מ מטעם כיון דהמקום דחוק מלפלוט פירש ממקום למקום ומחמת שנבלע במקום השני ע"י מליחה שוב אינו יוצא על ידי צליה כמ"ש הש"ך לקמן ס"ק ע"ד אף שהחתיכה מלאה דם וציר לא אמרינן איידי דיפלוט יפלוט וע"כ הטעם כיון שאין המלח עושה פעולת פליטה מכ"ש בדם אחר שנבלע בחתיכה בשעת מליחה בשעה שאין לה פליטה כגול שמנוח בכשא"מ שהמלח עושה פעולת בליעה ואינו יוצא שוב על ידי מליחה וצליחה אף שיש לה דם וציר של עצמה לא אמרי' איידי דיפלוט יפלוט ולפ"ז אם הבשר שנמלח והודח מונח על חתיכת בשר אחר דאז אינו דחוק מלפלוט כמבואר בסעיף י"ח לא נאסר הבשר. ולפי זה אם חתיכה אחת נמלח שני פעמים בלא הדחה בינתייים שכתב הט"ז בסי' ע' ס"ק ב' דאסור כשכלה פליטת כל הציר ע"ש ה"נ אף אם לא כלה פליטת צירו כשמונח בכשא"מ ג"כ נאסר דבשעה שמונח בכשא"מ אין לה פליטה והמלח מבליע בתוכה הדם שעליו ואינו יוצא שוב על ידי מליחה וצליה ולא אמרינן גביה שוב איידי דיפלוט יפלוט כנ"ל ברור בדעת הט"ז:</w:t>
      </w:r>
    </w:p>
    <w:p w14:paraId="324A7924" w14:textId="74A13E81" w:rsidR="002C1F80" w:rsidRDefault="002C1F80" w:rsidP="002C1F80">
      <w:pPr>
        <w:rPr>
          <w:rtl/>
        </w:rPr>
      </w:pPr>
      <w:r>
        <w:rPr>
          <w:rFonts w:hint="cs"/>
          <w:rtl/>
        </w:rPr>
        <w:t xml:space="preserve">(יט) </w:t>
      </w:r>
      <w:r>
        <w:rPr>
          <w:rFonts w:hint="cs"/>
          <w:b/>
          <w:bCs/>
          <w:rtl/>
        </w:rPr>
        <w:t xml:space="preserve">בטלה ברוב. </w:t>
      </w:r>
      <w:r>
        <w:rPr>
          <w:rFonts w:hint="cs"/>
          <w:rtl/>
        </w:rPr>
        <w:t>עש"ך ס"ק נ"ו דלא הוי דשיל"מ דלצלי לא נאסר מעולם. נראה דבעינן דוקא יש לו מתירין לדבר שהיה חשוב איסור מקודם ומעשר שני קודם שבא לירושלים היה עליו שם איסור וכשבא לירושלים הותר מאש"כ בחתיכה זו דלא היה עליה שם איסור דהא מותר לאוכלו באומצא וכשנצלה לא הותר שם איסור דלא היה עליו מעיקרא שם איסור רק לקדרה. ואין לפרש כוונת הט"ז דלהדם שבחתיכה לא יהיה היתר דהא בהגעלת כלים חשיב דשיל"מ אף לדהבליע לא יהיה היתר:</w:t>
      </w:r>
    </w:p>
    <w:p w14:paraId="20FA1671" w14:textId="6591B256" w:rsidR="002C1F80" w:rsidRDefault="002C1F80" w:rsidP="002C1F80">
      <w:pPr>
        <w:rPr>
          <w:rtl/>
        </w:rPr>
      </w:pPr>
      <w:r>
        <w:rPr>
          <w:rFonts w:hint="cs"/>
          <w:rtl/>
        </w:rPr>
        <w:t xml:space="preserve">(כ) </w:t>
      </w:r>
      <w:r>
        <w:rPr>
          <w:rFonts w:hint="cs"/>
          <w:b/>
          <w:bCs/>
          <w:rtl/>
        </w:rPr>
        <w:t xml:space="preserve">ברוב. </w:t>
      </w:r>
      <w:r>
        <w:rPr>
          <w:rFonts w:hint="cs"/>
          <w:rtl/>
        </w:rPr>
        <w:t xml:space="preserve">עש"ך ס"ק נ"ז שהקשה דהא מבא"מ צריך ס' בטעם דאים יבשלם יתן טעם. ועיין בר"ן שתירץ דדם </w:t>
      </w:r>
      <w:r w:rsidR="00355429">
        <w:rPr>
          <w:rFonts w:hint="cs"/>
          <w:rtl/>
        </w:rPr>
        <w:t>אחד להן כמ"ש הר"ן גבי בי דוגי. וקיימתיה מסברא דנפשאי:</w:t>
      </w:r>
    </w:p>
    <w:p w14:paraId="673A34C7" w14:textId="1FB1DAAE" w:rsidR="00355429" w:rsidRDefault="00355429" w:rsidP="002C1F80">
      <w:pPr>
        <w:rPr>
          <w:rtl/>
        </w:rPr>
      </w:pPr>
      <w:r>
        <w:rPr>
          <w:rFonts w:hint="cs"/>
          <w:rtl/>
        </w:rPr>
        <w:t xml:space="preserve">(כא) </w:t>
      </w:r>
      <w:r>
        <w:rPr>
          <w:rFonts w:hint="cs"/>
          <w:b/>
          <w:bCs/>
          <w:rtl/>
        </w:rPr>
        <w:t xml:space="preserve">יש ס'. </w:t>
      </w:r>
      <w:r>
        <w:rPr>
          <w:rFonts w:hint="cs"/>
          <w:rtl/>
        </w:rPr>
        <w:t>עט"ז ס"ק ל"ז שכתב בשם הרש"ל דהר"מ דס"ל דאף בבישול מותר החתיכה עד דהר"מ לטמעיה ולפענ"ד לא נראה כן דאי נימא דכבוש הרי הוא כמבושל אפ' למאן דמתיר לעיל בבישול החתיכה מ"מ ראוי לאסור בכבוש דהא דחתיכה מותרת היא מטעם שכתב הט"ז שם ס"ק כ"ז דמה שיצא נתבטל ומה שנשאר הוי דם שלא פירש ע"ש אבל ודאי דאין מליחה מועיל אחר בישול כמ"ש הרשב"א בתורת הבית הארוך וגבי כבוש בודאי צריך למולחו ולבשל אחר הכבישה דהא ע"י הכבישה אינו יוצא כל הדם דכבישה אינו סוחט כמו בישול כמ"ש המגן אברהם בא"ח סי' תמ"ז ס"ק ל"ח וכ"כ הת"ח בהדיא וע"כ צריך מליחה אחר הכבישה כשרוצה לבשלו ואין צריך לראיה ואי נימא דכבוש ה"ה כמבושל ודאי דאינו מועיל מליחה אחר כבישה כמו שאינו מועיל מליחה אחר בישול ואם כן כשיבשלנו אחר כך יהיה הדם שבתוכו פי' ממקום למקום אלא ודאי דסבירא ליה דכבוש אינו כלל כבישל רק לענין מבליע ומפליט ומה שמתיר החתיכה היינו על ידי מליחה אחר הכבישה וכמו שכתב הת"ח ואינו תלוי בפלוגתא דלעייל:</w:t>
      </w:r>
    </w:p>
    <w:p w14:paraId="12C3CC41" w14:textId="083DFAF1" w:rsidR="00355429" w:rsidRDefault="00355429" w:rsidP="002C1F80">
      <w:pPr>
        <w:rPr>
          <w:rtl/>
        </w:rPr>
      </w:pPr>
      <w:r>
        <w:rPr>
          <w:rFonts w:hint="cs"/>
          <w:rtl/>
        </w:rPr>
        <w:t xml:space="preserve">(כב) </w:t>
      </w:r>
      <w:r>
        <w:rPr>
          <w:rFonts w:hint="cs"/>
          <w:b/>
          <w:bCs/>
          <w:rtl/>
        </w:rPr>
        <w:t xml:space="preserve">אסור להשתמש. </w:t>
      </w:r>
      <w:r>
        <w:rPr>
          <w:rFonts w:hint="cs"/>
          <w:rtl/>
        </w:rPr>
        <w:t>עש"ך ס"ק ס"ד עד אפילו במקום שלא נגע שם הרוטב וכו'. ואף שבסי' צ"א סעיף א' מבואר דאין צריך ס' רק נגד מה שנתחב היינו משום אדם מקצתו לא אמרינן דחם כולו אבל הכא דכל הכלי חם בענין נגד כולו.</w:t>
      </w:r>
    </w:p>
    <w:p w14:paraId="18403BEC" w14:textId="26F27256" w:rsidR="00355429" w:rsidRPr="00355429" w:rsidRDefault="00355429" w:rsidP="002C1F80">
      <w:pPr>
        <w:rPr>
          <w:rtl/>
        </w:rPr>
      </w:pPr>
      <w:r>
        <w:rPr>
          <w:rFonts w:hint="cs"/>
          <w:rtl/>
        </w:rPr>
        <w:t xml:space="preserve">(כג) </w:t>
      </w:r>
      <w:r>
        <w:rPr>
          <w:rFonts w:hint="cs"/>
          <w:b/>
          <w:bCs/>
          <w:rtl/>
        </w:rPr>
        <w:t xml:space="preserve">מן הקערה. </w:t>
      </w:r>
      <w:r>
        <w:rPr>
          <w:rFonts w:hint="cs"/>
          <w:rtl/>
        </w:rPr>
        <w:t>הש"ך ס"ק ס"ה מה שהקשה הא סתם כלי יש בתוכו ס' נגד הקליפה וכו'. וקשה הא כאן צריך נגד קליפת המאכל ולא נגד טעם היוצא מקליפת הכלי כמ"ש בס"ק ס"ד וכל מאכל אין בו ס' נגד קליפתו כמבואר בפוסקים וה"נ נתמעט מהמאכל כדי קליפה שנעשה נבילה תחילה למאן דס"ל דאמרינן בקליפה חנ"נ אמנם לפמ"ש הש"ך בס"ק ס"ג דעיקר החומרא</w:t>
      </w:r>
    </w:p>
    <w:p w14:paraId="30367F1C" w14:textId="77777777" w:rsidR="00355429" w:rsidRPr="00355429" w:rsidRDefault="00355429" w:rsidP="002C1F80"/>
    <w:sectPr w:rsidR="00355429" w:rsidRPr="00355429" w:rsidSect="00CD55BF">
      <w:pgSz w:w="11906" w:h="16838" w:code="9"/>
      <w:pgMar w:top="1440" w:right="851" w:bottom="1440"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PFT_Frank">
    <w:panose1 w:val="01000503000000020003"/>
    <w:charset w:val="B1"/>
    <w:family w:val="auto"/>
    <w:pitch w:val="variable"/>
    <w:sig w:usb0="80000827" w:usb1="5000004A" w:usb2="00000000" w:usb3="00000000" w:csb0="00000020"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FT_Ivri">
    <w:panose1 w:val="01000503000000020003"/>
    <w:charset w:val="B1"/>
    <w:family w:val="auto"/>
    <w:pitch w:val="variable"/>
    <w:sig w:usb0="80000827" w:usb1="5000004A" w:usb2="00000000" w:usb3="00000000" w:csb0="0000002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140"/>
    <w:rsid w:val="001267EF"/>
    <w:rsid w:val="001A694E"/>
    <w:rsid w:val="001E463B"/>
    <w:rsid w:val="001F4621"/>
    <w:rsid w:val="00245B1E"/>
    <w:rsid w:val="002C1F80"/>
    <w:rsid w:val="002D7202"/>
    <w:rsid w:val="0031756D"/>
    <w:rsid w:val="00355429"/>
    <w:rsid w:val="003E27D3"/>
    <w:rsid w:val="0046575B"/>
    <w:rsid w:val="004A09E5"/>
    <w:rsid w:val="006A4046"/>
    <w:rsid w:val="006D6D83"/>
    <w:rsid w:val="007A7510"/>
    <w:rsid w:val="007B4CDF"/>
    <w:rsid w:val="007C3E45"/>
    <w:rsid w:val="007D0EFE"/>
    <w:rsid w:val="008700B8"/>
    <w:rsid w:val="00984140"/>
    <w:rsid w:val="00AE7F88"/>
    <w:rsid w:val="00B268E6"/>
    <w:rsid w:val="00B62001"/>
    <w:rsid w:val="00B739A5"/>
    <w:rsid w:val="00BE79DF"/>
    <w:rsid w:val="00C103C1"/>
    <w:rsid w:val="00C7400B"/>
    <w:rsid w:val="00CA62F1"/>
    <w:rsid w:val="00CD55BF"/>
    <w:rsid w:val="00DA54A2"/>
    <w:rsid w:val="00EE3A26"/>
    <w:rsid w:val="00F14E1C"/>
    <w:rsid w:val="00F162EF"/>
    <w:rsid w:val="00FC7E16"/>
    <w:rsid w:val="00FE5B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EEDE3"/>
  <w15:chartTrackingRefBased/>
  <w15:docId w15:val="{4A0AE543-2C3E-4545-B80D-63BBEDDBE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PFT_Frank"/>
        <w:kern w:val="2"/>
        <w:sz w:val="22"/>
        <w:szCs w:val="22"/>
        <w:lang w:val="en-US" w:eastAsia="en-US" w:bidi="he-IL"/>
        <w14:ligatures w14:val="standardContextual"/>
      </w:rPr>
    </w:rPrDefault>
    <w:pPrDefault>
      <w:pPr>
        <w:bidi/>
        <w:spacing w:after="160" w:line="259" w:lineRule="auto"/>
        <w:ind w:firstLine="284"/>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E1C"/>
    <w:pPr>
      <w:ind w:firstLine="232"/>
    </w:pPr>
    <w:rPr>
      <w:kern w:val="0"/>
      <w:sz w:val="24"/>
      <w14:ligatures w14:val="none"/>
    </w:rPr>
  </w:style>
  <w:style w:type="paragraph" w:styleId="1">
    <w:name w:val="heading 1"/>
    <w:aliases w:val="בענין"/>
    <w:basedOn w:val="a"/>
    <w:next w:val="a"/>
    <w:link w:val="10"/>
    <w:uiPriority w:val="1"/>
    <w:qFormat/>
    <w:rsid w:val="00F14E1C"/>
    <w:pPr>
      <w:keepNext/>
      <w:keepLines/>
      <w:spacing w:before="720" w:after="480"/>
      <w:jc w:val="center"/>
      <w:outlineLvl w:val="0"/>
    </w:pPr>
    <w:rPr>
      <w:rFonts w:asciiTheme="majorHAnsi" w:eastAsiaTheme="majorEastAsia" w:hAnsiTheme="majorHAnsi" w:cs="PFT_Ivri"/>
      <w:bCs/>
      <w:sz w:val="32"/>
      <w:szCs w:val="40"/>
    </w:rPr>
  </w:style>
  <w:style w:type="paragraph" w:styleId="2">
    <w:name w:val="heading 2"/>
    <w:basedOn w:val="a"/>
    <w:next w:val="a"/>
    <w:link w:val="20"/>
    <w:uiPriority w:val="9"/>
    <w:unhideWhenUsed/>
    <w:qFormat/>
    <w:rsid w:val="00F14E1C"/>
    <w:pPr>
      <w:keepNext/>
      <w:keepLines/>
      <w:spacing w:before="40" w:after="0"/>
      <w:jc w:val="left"/>
      <w:outlineLvl w:val="1"/>
    </w:pPr>
    <w:rPr>
      <w:rFonts w:asciiTheme="majorHAnsi" w:eastAsiaTheme="majorEastAsia" w:hAnsiTheme="majorHAnsi"/>
      <w:bCs/>
      <w:sz w:val="26"/>
      <w:szCs w:val="26"/>
    </w:rPr>
  </w:style>
  <w:style w:type="paragraph" w:styleId="3">
    <w:name w:val="heading 3"/>
    <w:basedOn w:val="a"/>
    <w:next w:val="a"/>
    <w:link w:val="30"/>
    <w:uiPriority w:val="9"/>
    <w:unhideWhenUsed/>
    <w:qFormat/>
    <w:rsid w:val="001267EF"/>
    <w:pPr>
      <w:keepNext/>
      <w:keepLines/>
      <w:spacing w:before="40" w:after="0"/>
      <w:outlineLvl w:val="2"/>
    </w:pPr>
    <w:rPr>
      <w:rFonts w:asciiTheme="majorHAnsi" w:eastAsiaTheme="majorEastAsia" w:hAnsiTheme="majorHAnsi" w:cs="PFT_Ivri"/>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aliases w:val="בענין תו"/>
    <w:basedOn w:val="a0"/>
    <w:link w:val="1"/>
    <w:uiPriority w:val="1"/>
    <w:rsid w:val="00F14E1C"/>
    <w:rPr>
      <w:rFonts w:asciiTheme="majorHAnsi" w:eastAsiaTheme="majorEastAsia" w:hAnsiTheme="majorHAnsi" w:cs="PFT_Ivri"/>
      <w:bCs/>
      <w:kern w:val="0"/>
      <w:sz w:val="32"/>
      <w:szCs w:val="40"/>
      <w14:ligatures w14:val="none"/>
    </w:rPr>
  </w:style>
  <w:style w:type="character" w:customStyle="1" w:styleId="20">
    <w:name w:val="כותרת 2 תו"/>
    <w:basedOn w:val="a0"/>
    <w:link w:val="2"/>
    <w:uiPriority w:val="9"/>
    <w:rsid w:val="00F14E1C"/>
    <w:rPr>
      <w:rFonts w:asciiTheme="majorHAnsi" w:eastAsiaTheme="majorEastAsia" w:hAnsiTheme="majorHAnsi"/>
      <w:bCs/>
      <w:kern w:val="0"/>
      <w:sz w:val="26"/>
      <w:szCs w:val="26"/>
      <w14:ligatures w14:val="none"/>
    </w:rPr>
  </w:style>
  <w:style w:type="paragraph" w:styleId="a3">
    <w:name w:val="footnote text"/>
    <w:basedOn w:val="a"/>
    <w:link w:val="a4"/>
    <w:uiPriority w:val="99"/>
    <w:semiHidden/>
    <w:unhideWhenUsed/>
    <w:rsid w:val="00C7400B"/>
    <w:pPr>
      <w:spacing w:after="0" w:line="240" w:lineRule="auto"/>
    </w:pPr>
    <w:rPr>
      <w:sz w:val="20"/>
      <w:szCs w:val="20"/>
    </w:rPr>
  </w:style>
  <w:style w:type="character" w:customStyle="1" w:styleId="a4">
    <w:name w:val="טקסט הערת שוליים תו"/>
    <w:basedOn w:val="a0"/>
    <w:link w:val="a3"/>
    <w:uiPriority w:val="99"/>
    <w:semiHidden/>
    <w:rsid w:val="00C7400B"/>
    <w:rPr>
      <w:sz w:val="20"/>
      <w:szCs w:val="20"/>
    </w:rPr>
  </w:style>
  <w:style w:type="character" w:styleId="a5">
    <w:name w:val="footnote reference"/>
    <w:basedOn w:val="a0"/>
    <w:uiPriority w:val="99"/>
    <w:semiHidden/>
    <w:unhideWhenUsed/>
    <w:rsid w:val="00C7400B"/>
    <w:rPr>
      <w:vertAlign w:val="superscript"/>
    </w:rPr>
  </w:style>
  <w:style w:type="paragraph" w:styleId="a6">
    <w:name w:val="No Spacing"/>
    <w:uiPriority w:val="9"/>
    <w:qFormat/>
    <w:rsid w:val="00F14E1C"/>
    <w:pPr>
      <w:spacing w:after="0" w:line="240" w:lineRule="auto"/>
    </w:pPr>
  </w:style>
  <w:style w:type="character" w:styleId="a7">
    <w:name w:val="Subtle Emphasis"/>
    <w:aliases w:val="ובו י' סעיפים"/>
    <w:basedOn w:val="a0"/>
    <w:uiPriority w:val="19"/>
    <w:qFormat/>
    <w:rsid w:val="00F14E1C"/>
    <w:rPr>
      <w:rFonts w:cstheme="majorBidi"/>
      <w:bCs w:val="0"/>
      <w:i/>
      <w:iCs w:val="0"/>
      <w:color w:val="auto"/>
      <w:szCs w:val="28"/>
    </w:rPr>
  </w:style>
  <w:style w:type="paragraph" w:customStyle="1" w:styleId="a8">
    <w:name w:val="סעיף א'"/>
    <w:basedOn w:val="a"/>
    <w:link w:val="a9"/>
    <w:qFormat/>
    <w:rsid w:val="00F14E1C"/>
    <w:pPr>
      <w:jc w:val="left"/>
    </w:pPr>
    <w:rPr>
      <w:rFonts w:asciiTheme="majorBidi" w:hAnsiTheme="majorBidi" w:cstheme="majorBidi"/>
      <w:b/>
      <w:bCs/>
      <w:sz w:val="36"/>
      <w:szCs w:val="32"/>
    </w:rPr>
  </w:style>
  <w:style w:type="character" w:customStyle="1" w:styleId="a9">
    <w:name w:val="סעיף א' תו"/>
    <w:basedOn w:val="a0"/>
    <w:link w:val="a8"/>
    <w:rsid w:val="00F14E1C"/>
    <w:rPr>
      <w:rFonts w:asciiTheme="majorBidi" w:hAnsiTheme="majorBidi" w:cstheme="majorBidi"/>
      <w:b/>
      <w:bCs/>
      <w:kern w:val="0"/>
      <w:sz w:val="36"/>
      <w:szCs w:val="32"/>
      <w14:ligatures w14:val="none"/>
    </w:rPr>
  </w:style>
  <w:style w:type="character" w:customStyle="1" w:styleId="30">
    <w:name w:val="כותרת 3 תו"/>
    <w:basedOn w:val="a0"/>
    <w:link w:val="3"/>
    <w:uiPriority w:val="9"/>
    <w:rsid w:val="001267EF"/>
    <w:rPr>
      <w:rFonts w:asciiTheme="majorHAnsi" w:eastAsiaTheme="majorEastAsia" w:hAnsiTheme="majorHAnsi" w:cs="PFT_Ivri"/>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575</Words>
  <Characters>2878</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חיים</dc:creator>
  <cp:keywords/>
  <dc:description/>
  <cp:lastModifiedBy>חיים</cp:lastModifiedBy>
  <cp:revision>3</cp:revision>
  <dcterms:created xsi:type="dcterms:W3CDTF">2025-11-23T18:21:00Z</dcterms:created>
  <dcterms:modified xsi:type="dcterms:W3CDTF">2025-11-23T18:40:00Z</dcterms:modified>
</cp:coreProperties>
</file>