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A5CA2" w14:textId="77777777" w:rsidR="0013422C" w:rsidRDefault="0013422C" w:rsidP="0013422C">
      <w:pPr>
        <w:autoSpaceDE w:val="0"/>
        <w:autoSpaceDN w:val="0"/>
        <w:adjustRightInd w:val="0"/>
        <w:spacing w:line="259" w:lineRule="atLeast"/>
        <w:jc w:val="both"/>
        <w:rPr>
          <w:rFonts w:ascii="FbKtifa" w:hAnsi="FbKtifa" w:cs="FbKtifa"/>
          <w:rtl/>
        </w:rPr>
      </w:pPr>
      <w:r>
        <w:rPr>
          <w:rFonts w:ascii="FbKtifa" w:hAnsi="FbKtifa" w:cs="FbKtifa" w:hint="cs"/>
          <w:rtl/>
        </w:rPr>
        <w:t xml:space="preserve">שיוצאים בה יד"ח (אילולי טעמו של המרדכי דלא הוי דירה). וע"כ דטעם הפטור שלו </w:t>
      </w:r>
      <w:r w:rsidRPr="00DF24A7">
        <w:rPr>
          <w:rFonts w:ascii="FbKtifa" w:hAnsi="FbKtifa" w:cs="FbKtifa"/>
          <w:rtl/>
        </w:rPr>
        <w:t>הוא</w:t>
      </w:r>
      <w:r>
        <w:rPr>
          <w:rFonts w:ascii="FbKtifa" w:hAnsi="FbKtifa" w:cs="FbKtifa" w:hint="cs"/>
          <w:rtl/>
        </w:rPr>
        <w:t xml:space="preserve"> כמו של שאר הפושעים, וכגון</w:t>
      </w:r>
      <w:r w:rsidRPr="00DF24A7">
        <w:rPr>
          <w:rFonts w:ascii="FbKtifa" w:hAnsi="FbKtifa" w:cs="FbKtifa"/>
          <w:rtl/>
        </w:rPr>
        <w:t xml:space="preserve"> </w:t>
      </w:r>
      <w:r>
        <w:rPr>
          <w:rFonts w:ascii="FbKtifa" w:hAnsi="FbKtifa" w:cs="FbKtifa" w:hint="cs"/>
          <w:rtl/>
        </w:rPr>
        <w:t>ה</w:t>
      </w:r>
      <w:r w:rsidRPr="00DF24A7">
        <w:rPr>
          <w:rFonts w:ascii="FbKtifa" w:hAnsi="FbKtifa" w:cs="FbKtifa"/>
          <w:rtl/>
        </w:rPr>
        <w:t xml:space="preserve">מקיז דם בחג דחייב </w:t>
      </w:r>
      <w:r>
        <w:rPr>
          <w:rFonts w:ascii="FbKtifa" w:hAnsi="FbKtifa" w:cs="FbKtifa" w:hint="cs"/>
          <w:rtl/>
        </w:rPr>
        <w:t xml:space="preserve"> </w:t>
      </w:r>
      <w:r w:rsidRPr="00DF24A7">
        <w:rPr>
          <w:rFonts w:ascii="FbKtifa" w:hAnsi="FbKtifa" w:cs="FbKtifa"/>
          <w:rtl/>
        </w:rPr>
        <w:t>מדהיה לו להקיז לפני החג או אחריה. דהתם החיוב הוא מחמת דאיהו דאזיק אנפשיה</w:t>
      </w:r>
      <w:r>
        <w:rPr>
          <w:rFonts w:ascii="FbKtifa" w:hAnsi="FbKtifa" w:cs="FbKtifa" w:hint="cs"/>
          <w:rtl/>
        </w:rPr>
        <w:t xml:space="preserve"> שהכניס את עצמו לצער.</w:t>
      </w:r>
    </w:p>
    <w:p w14:paraId="5FE73076" w14:textId="77777777" w:rsidR="0013422C" w:rsidRDefault="0013422C" w:rsidP="0013422C">
      <w:pPr>
        <w:autoSpaceDE w:val="0"/>
        <w:autoSpaceDN w:val="0"/>
        <w:adjustRightInd w:val="0"/>
        <w:spacing w:line="259" w:lineRule="atLeast"/>
        <w:jc w:val="both"/>
        <w:rPr>
          <w:rFonts w:ascii="FbKtifa" w:hAnsi="FbKtifa" w:cs="FbKtifa"/>
          <w:rtl/>
        </w:rPr>
      </w:pPr>
      <w:r>
        <w:rPr>
          <w:rFonts w:ascii="FbKtifa" w:hAnsi="FbKtifa" w:cs="FbKtifa" w:hint="cs"/>
          <w:rtl/>
        </w:rPr>
        <w:t>והביאור בזה,</w:t>
      </w:r>
      <w:r w:rsidRPr="00DF24A7">
        <w:rPr>
          <w:rFonts w:ascii="FbKtifa" w:hAnsi="FbKtifa" w:cs="FbKtifa"/>
          <w:rtl/>
        </w:rPr>
        <w:t xml:space="preserve"> דכל פטור מצטער דאין התורה מטריחה אותו להצטער עבור</w:t>
      </w:r>
      <w:r>
        <w:rPr>
          <w:rFonts w:ascii="FbKtifa" w:hAnsi="FbKtifa" w:cs="FbKtifa" w:hint="cs"/>
          <w:rtl/>
        </w:rPr>
        <w:t xml:space="preserve"> </w:t>
      </w:r>
      <w:r w:rsidRPr="00DF24A7">
        <w:rPr>
          <w:rFonts w:ascii="FbKtifa" w:hAnsi="FbKtifa" w:cs="FbKtifa"/>
          <w:rtl/>
        </w:rPr>
        <w:t>המצוה. אמנם הכא, כיון שאין לו להכניס עצמו לצער בשביל לקיים המצוה, כ</w:t>
      </w:r>
      <w:r>
        <w:rPr>
          <w:rFonts w:ascii="FbKtifa" w:hAnsi="FbKtifa" w:cs="FbKtifa" w:hint="cs"/>
          <w:rtl/>
        </w:rPr>
        <w:t xml:space="preserve">ל </w:t>
      </w:r>
      <w:r w:rsidRPr="00DF24A7">
        <w:rPr>
          <w:rFonts w:ascii="FbKtifa" w:hAnsi="FbKtifa" w:cs="FbKtifa"/>
          <w:rtl/>
        </w:rPr>
        <w:t>שהכניס עצמו לצער איהו דאזיק אנפשיה. ודוג' לדבר הוא אבל, דבמג"א הביא בשם</w:t>
      </w:r>
      <w:r>
        <w:rPr>
          <w:rFonts w:ascii="FbKtifa" w:hAnsi="FbKtifa" w:cs="FbKtifa" w:hint="cs"/>
          <w:rtl/>
        </w:rPr>
        <w:t xml:space="preserve"> </w:t>
      </w:r>
      <w:r w:rsidRPr="00DF24A7">
        <w:rPr>
          <w:rFonts w:ascii="FbKtifa" w:hAnsi="FbKtifa" w:cs="FbKtifa"/>
          <w:rtl/>
        </w:rPr>
        <w:t>התניא שאם המת קרוב לליבו ולא יכו</w:t>
      </w:r>
      <w:r>
        <w:rPr>
          <w:rFonts w:ascii="FbKtifa" w:hAnsi="FbKtifa" w:cs="FbKtifa" w:hint="cs"/>
          <w:rtl/>
        </w:rPr>
        <w:t>ל</w:t>
      </w:r>
      <w:r w:rsidRPr="00A67D6C">
        <w:rPr>
          <w:rFonts w:ascii="FbKtifa" w:hAnsi="FbKtifa" w:cs="FbKtifa"/>
          <w:rtl/>
        </w:rPr>
        <w:t xml:space="preserve"> </w:t>
      </w:r>
      <w:r w:rsidRPr="00DF24A7">
        <w:rPr>
          <w:rFonts w:ascii="FbKtifa" w:hAnsi="FbKtifa" w:cs="FbKtifa"/>
          <w:rtl/>
        </w:rPr>
        <w:t>להסיר צערו פטור מליישב בסוכה. אמנם במשנ"ב הביא מהישעו"י (וכן דקדק</w:t>
      </w:r>
      <w:r>
        <w:rPr>
          <w:rFonts w:ascii="FbKtifa" w:hAnsi="FbKtifa" w:cs="FbKtifa" w:hint="cs"/>
          <w:rtl/>
        </w:rPr>
        <w:t xml:space="preserve"> </w:t>
      </w:r>
      <w:r w:rsidRPr="00DF24A7">
        <w:rPr>
          <w:rFonts w:ascii="FbKtifa" w:hAnsi="FbKtifa" w:cs="FbKtifa"/>
          <w:rtl/>
        </w:rPr>
        <w:t>השעה"צ מכך שלא חי' הראשונים נר' דאבל חייב בכל גווני) דאף בכה"ג חייב</w:t>
      </w:r>
      <w:r>
        <w:rPr>
          <w:rFonts w:ascii="FbKtifa" w:hAnsi="FbKtifa" w:cs="FbKtifa" w:hint="cs"/>
          <w:rtl/>
        </w:rPr>
        <w:t>.</w:t>
      </w:r>
    </w:p>
    <w:p w14:paraId="1787563B" w14:textId="77777777" w:rsidR="0013422C" w:rsidRDefault="0013422C" w:rsidP="0013422C">
      <w:pPr>
        <w:autoSpaceDE w:val="0"/>
        <w:autoSpaceDN w:val="0"/>
        <w:adjustRightInd w:val="0"/>
        <w:spacing w:line="259" w:lineRule="atLeast"/>
        <w:jc w:val="both"/>
        <w:rPr>
          <w:rFonts w:ascii="FbKtifa" w:hAnsi="FbKtifa" w:cs="FbKtifa"/>
          <w:rtl/>
        </w:rPr>
      </w:pPr>
      <w:r w:rsidRPr="00DF24A7">
        <w:rPr>
          <w:rFonts w:ascii="FbKtifa" w:hAnsi="FbKtifa" w:cs="FbKtifa"/>
          <w:rtl/>
        </w:rPr>
        <w:t>וצ"ב דסו"ס הוא מצטער. והביאור בזה, דכיון שמוטל עליו להסיר צערו, הרי דאין המצוה דורשת ממנו להצטער, אלא אדרבא הדרישה היא להסיר את צערו</w:t>
      </w:r>
      <w:r>
        <w:rPr>
          <w:rFonts w:ascii="FbKtifa" w:hAnsi="FbKtifa" w:cs="FbKtifa" w:hint="cs"/>
          <w:rtl/>
        </w:rPr>
        <w:t xml:space="preserve"> </w:t>
      </w:r>
      <w:r w:rsidRPr="00DF24A7">
        <w:rPr>
          <w:rFonts w:ascii="FbKtifa" w:hAnsi="FbKtifa" w:cs="FbKtifa"/>
          <w:rtl/>
        </w:rPr>
        <w:t xml:space="preserve">ולקיים את מצות הסוכה </w:t>
      </w:r>
      <w:r w:rsidRPr="00DF24A7">
        <w:rPr>
          <w:rFonts w:ascii="FbKtifa" w:hAnsi="FbKtifa" w:cs="FbKtifa"/>
          <w:rtl/>
        </w:rPr>
        <w:t>בלא טורח, וכל שלא עשה כך איהו דאזיק אנפשיה (עי' הע</w:t>
      </w:r>
      <w:r>
        <w:rPr>
          <w:rFonts w:ascii="FbKtifa" w:hAnsi="FbKtifa" w:cs="FbKtifa" w:hint="cs"/>
          <w:rtl/>
        </w:rPr>
        <w:t>רה</w:t>
      </w:r>
      <w:r>
        <w:rPr>
          <w:rStyle w:val="a5"/>
          <w:rFonts w:ascii="FbKtifa" w:hAnsi="FbKtifa" w:cs="FbKtifa"/>
          <w:rtl/>
        </w:rPr>
        <w:footnoteReference w:id="1"/>
      </w:r>
      <w:r>
        <w:rPr>
          <w:rFonts w:ascii="FbKtifa" w:hAnsi="FbKtifa" w:cs="FbKtifa" w:hint="cs"/>
          <w:rtl/>
        </w:rPr>
        <w:t xml:space="preserve"> </w:t>
      </w:r>
      <w:r w:rsidRPr="00DF24A7">
        <w:rPr>
          <w:rFonts w:ascii="FbKtifa" w:hAnsi="FbKtifa" w:cs="FbKtifa"/>
          <w:rtl/>
        </w:rPr>
        <w:t xml:space="preserve">ביתר ביאור). ודוג' לדבר הוא במה שכתבנו בתחילת דברינו דערל שיכל למול ולא מל ולא עשה הפסח חייב כרת, וצ"ב דלכאו' היה אונס והוא פטור. והביאור בזה דמה שהוא חייב כרת אינו מחמת שלא הקריב הפסח, אלא משום שלא מל ועשה הפסח, שהיה לו למול ולעשות הפסח. </w:t>
      </w:r>
    </w:p>
    <w:p w14:paraId="7E2D04B1" w14:textId="3E03D3B3" w:rsidR="0005463B" w:rsidRPr="00621DE1" w:rsidRDefault="0013422C" w:rsidP="0013422C">
      <w:pPr>
        <w:jc w:val="both"/>
      </w:pPr>
      <w:r w:rsidRPr="00DF24A7">
        <w:rPr>
          <w:rFonts w:ascii="FbKtifa" w:hAnsi="FbKtifa" w:cs="FbKtifa"/>
          <w:rtl/>
        </w:rPr>
        <w:t>וה"נ הכא דלעולם לא מצוה אותה התורה להצטער, אלא הצוי הוא שיצא מצערו ויקים מצות סוכה, וכל שלא עשה כך איהו דאזיק אנפשי</w:t>
      </w:r>
      <w:r>
        <w:rPr>
          <w:rFonts w:ascii="FbKtifa" w:hAnsi="FbKtifa" w:cs="FbKtifa" w:hint="cs"/>
          <w:rtl/>
        </w:rPr>
        <w:t xml:space="preserve">ה. </w:t>
      </w:r>
      <w:r w:rsidRPr="00DF24A7">
        <w:rPr>
          <w:rFonts w:ascii="FbKtifa" w:hAnsi="FbKtifa" w:cs="FbKtifa"/>
          <w:rtl/>
        </w:rPr>
        <w:t>וכמו"כ כתב החת"ס שאם הלך לביתו תוך החג, ל"ח מצטער מה בהליכתו לסוכה, כיון שהמצוה דורשת ממנו להיות בסוכה בזמן שנמצא בביתו ולא ללכת לביתו, ובהליכה לביתו חשיב איהו דאזיק אנפשיה. וכן הוא בנידון של המג"א, דמקיז דם הצוי שהיה עליו הוא</w:t>
      </w:r>
    </w:p>
    <w:sectPr w:rsidR="0005463B" w:rsidRPr="00621DE1" w:rsidSect="0013422C">
      <w:footnotePr>
        <w:numFmt w:val="hebrew1"/>
      </w:footnotePr>
      <w:type w:val="continuous"/>
      <w:pgSz w:w="8391" w:h="11906" w:code="11"/>
      <w:pgMar w:top="720" w:right="720" w:bottom="720" w:left="720" w:header="720" w:footer="720" w:gutter="0"/>
      <w:cols w:num="2" w:space="567"/>
      <w:noEndnote/>
      <w:bidi/>
      <w:rtlGutter/>
      <w:docGrid w:linePitch="299"/>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535E" w14:textId="77777777" w:rsidR="00041029" w:rsidRDefault="00041029" w:rsidP="00621DE1">
      <w:pPr>
        <w:spacing w:after="0" w:line="240" w:lineRule="auto"/>
      </w:pPr>
      <w:r>
        <w:separator/>
      </w:r>
    </w:p>
  </w:endnote>
  <w:endnote w:type="continuationSeparator" w:id="0">
    <w:p w14:paraId="345A28B8" w14:textId="77777777" w:rsidR="00041029" w:rsidRDefault="00041029" w:rsidP="0062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bKtifa">
    <w:altName w:val="Times New Roman"/>
    <w:charset w:val="00"/>
    <w:family w:val="roman"/>
    <w:pitch w:val="variable"/>
    <w:sig w:usb0="80000827" w:usb1="5000004A"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8A72B" w14:textId="77777777" w:rsidR="00041029" w:rsidRDefault="00041029" w:rsidP="00621DE1">
      <w:pPr>
        <w:spacing w:after="0" w:line="240" w:lineRule="auto"/>
      </w:pPr>
      <w:r>
        <w:separator/>
      </w:r>
    </w:p>
  </w:footnote>
  <w:footnote w:type="continuationSeparator" w:id="0">
    <w:p w14:paraId="464D0E30" w14:textId="77777777" w:rsidR="00041029" w:rsidRDefault="00041029" w:rsidP="00621DE1">
      <w:pPr>
        <w:spacing w:after="0" w:line="240" w:lineRule="auto"/>
      </w:pPr>
      <w:r>
        <w:continuationSeparator/>
      </w:r>
    </w:p>
  </w:footnote>
  <w:footnote w:id="1">
    <w:p w14:paraId="33DD51B2" w14:textId="77777777" w:rsidR="0013422C" w:rsidRPr="00882680" w:rsidRDefault="0013422C" w:rsidP="0013422C">
      <w:pPr>
        <w:pStyle w:val="a3"/>
        <w:jc w:val="both"/>
        <w:rPr>
          <w:rFonts w:ascii="FrankRuehl" w:hAnsi="FrankRuehl" w:cs="FrankRuehl"/>
          <w:sz w:val="22"/>
          <w:szCs w:val="22"/>
          <w:rtl/>
        </w:rPr>
      </w:pPr>
      <w:r>
        <w:rPr>
          <w:rStyle w:val="a5"/>
        </w:rPr>
        <w:footnoteRef/>
      </w:r>
      <w:r>
        <w:rPr>
          <w:rtl/>
        </w:rPr>
        <w:t xml:space="preserve"> </w:t>
      </w:r>
      <w:r w:rsidRPr="00882680">
        <w:rPr>
          <w:rFonts w:ascii="FrankRuehl" w:hAnsi="FrankRuehl" w:cs="FrankRuehl" w:hint="cs"/>
          <w:sz w:val="22"/>
          <w:szCs w:val="22"/>
          <w:rtl/>
        </w:rPr>
        <w:t xml:space="preserve">והביאור דאף כשאמרי' דאי"צ להצטער בשביל המצוה, אין הכונה דיש הגבלה בכמה מוטל עליו לטרוח בשביל לעשות את המצוה, כמו שאמרנו בפטור דעד חומש במצוה, משום שאין מצוה על האדם כלל לטרוח בעבור המצוה, ששייך להגביל את המצוה, ואין המצוה אלא הדיור בסוכה. וכל פטור של עד חומש נא' במקום שאמרה תורה שעליו להוציא מממונו וכגון צדקה או מכשירי מצוה. אלא הפטור של מצטער הוא דמקום שיש לך טורח אינך חייב כלל בקיום מצות סוכה, וכמו באעדל"ת ועוסק במצוה, דכל כה"ג אמרה תורה דאי"צ לקיים את חיובו, ונפטור מגוף העשה, משא"כ ביותר מחומש דאף אם אין בחומש ממונו מספיק לקנית אתרוג, מוטלת עליו המצוה לקנות אתרוג בחומש ממונו, ומש"ה אמרי' דפטורו משום אונס (ועיי' בהערה </w:t>
      </w:r>
      <w:r>
        <w:rPr>
          <w:rFonts w:ascii="FrankRuehl" w:hAnsi="FrankRuehl" w:cs="FrankRuehl" w:hint="cs"/>
          <w:sz w:val="22"/>
          <w:szCs w:val="22"/>
          <w:vertAlign w:val="superscript"/>
          <w:rtl/>
        </w:rPr>
        <w:t>כב</w:t>
      </w:r>
      <w:r>
        <w:rPr>
          <w:rFonts w:ascii="FrankRuehl" w:hAnsi="FrankRuehl" w:cs="FrankRuehl" w:hint="cs"/>
          <w:sz w:val="22"/>
          <w:szCs w:val="22"/>
          <w:rtl/>
        </w:rPr>
        <w:t xml:space="preserve"> נפק"מ נוספת</w:t>
      </w:r>
      <w:r w:rsidRPr="00882680">
        <w:rPr>
          <w:rFonts w:ascii="FrankRuehl" w:hAnsi="FrankRuehl" w:cs="FrankRuehl" w:hint="cs"/>
          <w:sz w:val="22"/>
          <w:szCs w:val="22"/>
          <w:rtl/>
        </w:rPr>
        <w:t xml:space="preserve">). </w:t>
      </w:r>
    </w:p>
    <w:p w14:paraId="4C93E112" w14:textId="77777777" w:rsidR="0013422C" w:rsidRDefault="0013422C" w:rsidP="0013422C">
      <w:pPr>
        <w:pStyle w:val="a3"/>
        <w:jc w:val="both"/>
        <w:rPr>
          <w:rtl/>
        </w:rPr>
      </w:pPr>
      <w:r w:rsidRPr="00882680">
        <w:rPr>
          <w:rFonts w:ascii="FrankRuehl" w:hAnsi="FrankRuehl" w:cs="FrankRuehl" w:hint="cs"/>
          <w:sz w:val="22"/>
          <w:szCs w:val="22"/>
          <w:rtl/>
        </w:rPr>
        <w:t xml:space="preserve">ומש"ה באבל שיכול להוציא עצמו מצערו אין התורה מחייבת אותו להצטער, אלא התורה מחייבת אותו להוציא עצמו מצערו, וכיון שיכול להוציא מצערו לא נפטר ממצות סוכה, וא"כ אף כשאין יכול להוציא עצמו מצטערו, בכ"ז לא נפטר ממצות סוכה, כיון שבכ"ז התורה דורשת ממנו להוציא עצמו מהצער. </w:t>
      </w:r>
    </w:p>
    <w:p w14:paraId="602E4D59" w14:textId="77777777" w:rsidR="0013422C" w:rsidRDefault="0013422C" w:rsidP="0013422C">
      <w:pPr>
        <w:pStyle w:val="a3"/>
        <w:jc w:val="both"/>
        <w:rPr>
          <w:rFonts w:ascii="FrankRuehl" w:hAnsi="FrankRuehl" w:cs="FrankRuehl"/>
          <w:sz w:val="22"/>
          <w:szCs w:val="22"/>
          <w:rtl/>
        </w:rPr>
      </w:pPr>
      <w:r>
        <w:rPr>
          <w:rFonts w:ascii="FrankRuehl" w:hAnsi="FrankRuehl" w:cs="FrankRuehl" w:hint="cs"/>
          <w:sz w:val="22"/>
          <w:szCs w:val="22"/>
          <w:vertAlign w:val="superscript"/>
          <w:rtl/>
        </w:rPr>
        <w:t xml:space="preserve">כב </w:t>
      </w:r>
      <w:r w:rsidRPr="00882680">
        <w:rPr>
          <w:rFonts w:ascii="FrankRuehl" w:hAnsi="FrankRuehl" w:cs="FrankRuehl" w:hint="cs"/>
          <w:sz w:val="22"/>
          <w:szCs w:val="22"/>
          <w:rtl/>
        </w:rPr>
        <w:t>מש"ה פסק השו"ע דבצטער היושב בסוכה חשיב כ'פטור מהדבר ועושהו שנקרא הדיוט' ולענין להוציא יותר מחומש ממונו, כתבו האחרונים דלא אמרי' דנקרא הדיוט. והחי' הוא כנ"ל דבפטור מצטער הוא פטור מגוף המצוה, וחשיב כאינו מצוה ומש"ה נקרא הדיוט, וכמו עוסק במצוה שכתב הירושלמי דנקרא הדיוט משום שפטור מגוף המצוה. משא"כ פטור דיותר מחומש שנשאר חייב בגוף המצוה, וא"כ אם רוצה להדר ולקיים את מצותו ביותר מחומש ממונו ודאי משובח טפי, ויל"ע.</w:t>
      </w:r>
      <w:r>
        <w:t xml:space="preserve"> </w:t>
      </w:r>
    </w:p>
    <w:p w14:paraId="6B5A390E" w14:textId="77777777" w:rsidR="0013422C" w:rsidRPr="006C5C61" w:rsidRDefault="0013422C" w:rsidP="0013422C">
      <w:pPr>
        <w:pStyle w:val="a3"/>
        <w:jc w:val="both"/>
        <w:rPr>
          <w:rFonts w:ascii="FrankRuehl" w:hAnsi="FrankRuehl" w:cs="FrankRuehl"/>
          <w:sz w:val="22"/>
          <w:szCs w:val="22"/>
          <w:rtl/>
        </w:rPr>
      </w:pPr>
      <w:r>
        <w:rPr>
          <w:rFonts w:ascii="FrankRuehl" w:hAnsi="FrankRuehl" w:cs="FrankRuehl" w:hint="cs"/>
          <w:sz w:val="22"/>
          <w:szCs w:val="22"/>
          <w:rtl/>
        </w:rPr>
        <w:t>(</w:t>
      </w:r>
      <w:r w:rsidRPr="006C5C61">
        <w:rPr>
          <w:rFonts w:ascii="FrankRuehl" w:hAnsi="FrankRuehl" w:cs="FrankRuehl" w:hint="cs"/>
          <w:sz w:val="22"/>
          <w:szCs w:val="22"/>
          <w:rtl/>
        </w:rPr>
        <w:t>וב</w:t>
      </w:r>
      <w:r>
        <w:rPr>
          <w:rFonts w:ascii="FrankRuehl" w:hAnsi="FrankRuehl" w:cs="FrankRuehl" w:hint="cs"/>
          <w:sz w:val="22"/>
          <w:szCs w:val="22"/>
          <w:rtl/>
        </w:rPr>
        <w:t>מח"צ (ריש סי' תרלט) כתב דבהיה לו צער לילך לסוכת חברו אינו מברך על הישיבה בסוכה דכל הפטור מהדבר ועושהו נקרא הדיוט. וברעק"א תמה דכיון דהלך לסוכת חברו וכיום אין לו צער אמאי לא יברך. ולכאו' פליגי האם אמרי' דכיון דפטרה אותו תורה אף בהלך סו"ס הוא פטור מסוכה, ולרעק"א כיון שהלך הדר דינא שכיום הוא מחויב.).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numFmt w:val="hebrew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E1"/>
    <w:rsid w:val="00041029"/>
    <w:rsid w:val="0005463B"/>
    <w:rsid w:val="0013422C"/>
    <w:rsid w:val="004D27D0"/>
    <w:rsid w:val="00621DE1"/>
    <w:rsid w:val="006A4211"/>
    <w:rsid w:val="00903530"/>
    <w:rsid w:val="00AC11D6"/>
    <w:rsid w:val="00B772F8"/>
    <w:rsid w:val="00F825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D971"/>
  <w15:chartTrackingRefBased/>
  <w15:docId w15:val="{EBA1B471-F555-4A44-9052-2BF6D9C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22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21DE1"/>
    <w:pPr>
      <w:spacing w:after="0" w:line="240" w:lineRule="auto"/>
    </w:pPr>
    <w:rPr>
      <w:sz w:val="20"/>
      <w:szCs w:val="20"/>
    </w:rPr>
  </w:style>
  <w:style w:type="character" w:customStyle="1" w:styleId="a4">
    <w:name w:val="טקסט הערת שוליים תו"/>
    <w:basedOn w:val="a0"/>
    <w:link w:val="a3"/>
    <w:uiPriority w:val="99"/>
    <w:semiHidden/>
    <w:rsid w:val="00621DE1"/>
    <w:rPr>
      <w:sz w:val="20"/>
      <w:szCs w:val="20"/>
    </w:rPr>
  </w:style>
  <w:style w:type="character" w:styleId="a5">
    <w:name w:val="footnote reference"/>
    <w:basedOn w:val="a0"/>
    <w:uiPriority w:val="99"/>
    <w:semiHidden/>
    <w:unhideWhenUsed/>
    <w:rsid w:val="00621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1154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nrsfh</dc:creator>
  <cp:keywords/>
  <dc:description/>
  <cp:lastModifiedBy>בת שבע אורטה</cp:lastModifiedBy>
  <cp:revision>2</cp:revision>
  <dcterms:created xsi:type="dcterms:W3CDTF">2024-10-13T21:06:00Z</dcterms:created>
  <dcterms:modified xsi:type="dcterms:W3CDTF">2024-10-13T22:17:00Z</dcterms:modified>
</cp:coreProperties>
</file>