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91C0" w14:textId="5F487A34" w:rsidR="00725BEF" w:rsidRDefault="00725BEF" w:rsidP="00522F91">
      <w:pPr>
        <w:tabs>
          <w:tab w:val="center" w:pos="1848"/>
        </w:tabs>
        <w:spacing w:after="230"/>
        <w:rPr>
          <w:rtl/>
        </w:rPr>
      </w:pPr>
      <w:r>
        <w:rPr>
          <w:rFonts w:hint="cs"/>
          <w:rtl/>
        </w:rPr>
        <w:t xml:space="preserve">בפתח הבית שורה שכינה בתוך הבית וכמו דאיתא בגמ' שהמנורה היא עדות שהשכינה שורה ונרות חנוכה הוו כמנורה כדאיתא בראשונים וא"כ העניין של חנוכה היא כנגד רצונם לעקור את השראת השכינה מעם ישראל, וראיתי מביאים בשם האמרי אמת וכן ראיתי מביא הרב קרפ בספרו דלכך דין נ"ח הוא למטה מעשרה להורות שבחנוכה הנרות עצמם הם מעמידים את השכינה ובחנוכה השכינה נמצאת וכמו דאיתא בספרים דלעתיד לבוא השכינה תרד למטה </w:t>
      </w:r>
      <w:r w:rsidR="00A00C07">
        <w:rPr>
          <w:rtl/>
        </w:rPr>
        <w:br/>
      </w:r>
      <w:r w:rsidR="00A00C07">
        <w:rPr>
          <w:rtl/>
        </w:rPr>
        <w:tab/>
      </w:r>
      <w:r>
        <w:rPr>
          <w:rFonts w:hint="cs"/>
          <w:rtl/>
        </w:rPr>
        <w:t>מעשרה כדכתיב ומלאה הארץ דעה את ה'.</w:t>
      </w:r>
    </w:p>
    <w:p w14:paraId="443E56B4" w14:textId="56BAD876" w:rsidR="00725BEF" w:rsidRDefault="00725BEF" w:rsidP="00522F91">
      <w:pPr>
        <w:tabs>
          <w:tab w:val="center" w:pos="1848"/>
        </w:tabs>
        <w:spacing w:after="230"/>
        <w:rPr>
          <w:rtl/>
        </w:rPr>
      </w:pPr>
      <w:r w:rsidRPr="00A00C07">
        <w:rPr>
          <w:rFonts w:cs="TehilaMedium" w:hint="cs"/>
          <w:bCs/>
          <w:rtl/>
        </w:rPr>
        <w:t>וא"כ</w:t>
      </w:r>
      <w:r>
        <w:rPr>
          <w:rFonts w:hint="cs"/>
          <w:rtl/>
        </w:rPr>
        <w:t xml:space="preserve"> אחר כ"ז אפשר להבין את השייכות </w:t>
      </w:r>
      <w:r w:rsidR="00A00C07">
        <w:rPr>
          <w:rtl/>
        </w:rPr>
        <w:br/>
      </w:r>
      <w:r w:rsidR="00A00C07" w:rsidRPr="00A00C07">
        <w:rPr>
          <w:spacing w:val="451"/>
          <w:rtl/>
        </w:rPr>
        <w:t> </w:t>
      </w:r>
      <w:r>
        <w:rPr>
          <w:rFonts w:hint="cs"/>
          <w:rtl/>
        </w:rPr>
        <w:t xml:space="preserve">של חנוכה לסוכות שהענין בשניהם היא העמדת מקום להשראת השכינה </w:t>
      </w:r>
      <w:r w:rsidR="00A00C07">
        <w:rPr>
          <w:rtl/>
        </w:rPr>
        <w:br/>
      </w:r>
      <w:r w:rsidR="00A00C07">
        <w:rPr>
          <w:rtl/>
        </w:rPr>
        <w:tab/>
      </w:r>
      <w:r>
        <w:rPr>
          <w:rFonts w:hint="cs"/>
          <w:rtl/>
        </w:rPr>
        <w:t>בתוכינו.</w:t>
      </w:r>
    </w:p>
    <w:p w14:paraId="5ED7092A" w14:textId="3448D724" w:rsidR="00725BEF" w:rsidRDefault="00725BEF" w:rsidP="00815939">
      <w:pPr>
        <w:tabs>
          <w:tab w:val="center" w:pos="1848"/>
        </w:tabs>
        <w:rPr>
          <w:rtl/>
        </w:rPr>
      </w:pPr>
      <w:r w:rsidRPr="00A00C07">
        <w:rPr>
          <w:rFonts w:cs="TehilaMedium" w:hint="cs"/>
          <w:bCs/>
          <w:rtl/>
        </w:rPr>
        <w:t>ולפ"ז</w:t>
      </w:r>
      <w:r>
        <w:rPr>
          <w:rFonts w:hint="cs"/>
          <w:rtl/>
        </w:rPr>
        <w:t xml:space="preserve"> אפשר להבין טובא את הדין המחודש </w:t>
      </w:r>
      <w:r w:rsidR="00A00C07">
        <w:rPr>
          <w:rtl/>
        </w:rPr>
        <w:br/>
      </w:r>
      <w:r w:rsidR="00A00C07" w:rsidRPr="00A00C07">
        <w:rPr>
          <w:spacing w:val="463"/>
          <w:rtl/>
        </w:rPr>
        <w:t> </w:t>
      </w:r>
      <w:r>
        <w:rPr>
          <w:rFonts w:hint="cs"/>
          <w:rtl/>
        </w:rPr>
        <w:t xml:space="preserve">שמצינו בסוגיא דאכסנאי שנרות חנוכה הם דין בבית [וחובת הבית] דכיון דזהו המהות של חנוכה להעמיד את השראת השכינה בתוך ביתו של האדם דהבית הוא מקום להשראת השכינה וא"כ </w:t>
      </w:r>
      <w:r w:rsidR="00A00C07">
        <w:rPr>
          <w:rtl/>
        </w:rPr>
        <w:br/>
      </w:r>
      <w:r w:rsidR="00A00C07">
        <w:rPr>
          <w:rtl/>
        </w:rPr>
        <w:tab/>
      </w:r>
      <w:r>
        <w:rPr>
          <w:rFonts w:hint="cs"/>
          <w:rtl/>
        </w:rPr>
        <w:t>לכך בעי דווקא בבית.</w:t>
      </w:r>
    </w:p>
    <w:p w14:paraId="2EFCABD7" w14:textId="77777777" w:rsidR="00815939" w:rsidRDefault="00815939" w:rsidP="00815939">
      <w:pPr>
        <w:tabs>
          <w:tab w:val="center" w:pos="3909"/>
        </w:tabs>
        <w:jc w:val="center"/>
        <w:sectPr w:rsidR="00815939" w:rsidSect="00761857">
          <w:headerReference w:type="even" r:id="rId7"/>
          <w:headerReference w:type="default" r:id="rId8"/>
          <w:footnotePr>
            <w:numFmt w:val="hebrew1"/>
          </w:footnotePr>
          <w:type w:val="continuous"/>
          <w:pgSz w:w="9978" w:h="14179" w:code="138"/>
          <w:pgMar w:top="1440" w:right="1080" w:bottom="1440" w:left="1080" w:header="708" w:footer="708" w:gutter="0"/>
          <w:pgNumType w:fmt="hebrew1"/>
          <w:cols w:num="2" w:space="425"/>
          <w:bidi/>
          <w:rtlGutter/>
          <w:docGrid w:linePitch="360"/>
          <w15:footnoteColumns w:val="1"/>
        </w:sectPr>
      </w:pPr>
    </w:p>
    <w:p w14:paraId="3D207FA3" w14:textId="402F5A5B" w:rsidR="00815939" w:rsidRDefault="00815939" w:rsidP="00815939">
      <w:pPr>
        <w:pStyle w:val="a5"/>
        <w:rPr>
          <w:rFonts w:hint="cs"/>
          <w:rtl/>
        </w:rPr>
      </w:pPr>
      <w:r>
        <w:t>z</w:t>
      </w:r>
    </w:p>
    <w:p w14:paraId="7429BB83" w14:textId="7B78DE1C" w:rsidR="00725BEF" w:rsidRDefault="00725BEF" w:rsidP="00831E1D">
      <w:pPr>
        <w:pStyle w:val="1"/>
        <w:rPr>
          <w:rtl/>
        </w:rPr>
      </w:pPr>
      <w:bookmarkStart w:id="0" w:name="_Toc153182196"/>
      <w:r>
        <w:rPr>
          <w:rFonts w:hint="cs"/>
          <w:rtl/>
        </w:rPr>
        <w:lastRenderedPageBreak/>
        <w:t>בדין כבתה זקוק לה</w:t>
      </w:r>
      <w:bookmarkEnd w:id="0"/>
    </w:p>
    <w:p w14:paraId="577E24A4" w14:textId="77777777" w:rsidR="00481DDD" w:rsidRDefault="00481DDD" w:rsidP="00A00C07">
      <w:pPr>
        <w:rPr>
          <w:rtl/>
        </w:rPr>
        <w:sectPr w:rsidR="00481DDD" w:rsidSect="00481DDD">
          <w:footnotePr>
            <w:numFmt w:val="hebrew1"/>
          </w:footnotePr>
          <w:type w:val="continuous"/>
          <w:pgSz w:w="9978" w:h="14179" w:code="138"/>
          <w:pgMar w:top="1440" w:right="1080" w:bottom="1440" w:left="1080" w:header="708" w:footer="708" w:gutter="0"/>
          <w:pgNumType w:fmt="hebrew1"/>
          <w:cols w:space="720"/>
          <w:bidi/>
          <w:rtlGutter/>
          <w:docGrid w:linePitch="360"/>
          <w15:footnoteColumns w:val="1"/>
        </w:sectPr>
      </w:pPr>
    </w:p>
    <w:p w14:paraId="3C761F48" w14:textId="3A580A4E" w:rsidR="00725BEF" w:rsidRDefault="00725BEF" w:rsidP="00A00C07">
      <w:pPr>
        <w:tabs>
          <w:tab w:val="center" w:pos="1848"/>
        </w:tabs>
        <w:rPr>
          <w:rtl/>
        </w:rPr>
      </w:pPr>
      <w:r w:rsidRPr="00A00C07">
        <w:rPr>
          <w:rFonts w:cs="TehilaMedium" w:hint="cs"/>
          <w:bCs/>
          <w:rtl/>
        </w:rPr>
        <w:t>איתא</w:t>
      </w:r>
      <w:r>
        <w:rPr>
          <w:rFonts w:hint="cs"/>
          <w:rtl/>
        </w:rPr>
        <w:t xml:space="preserve"> בגמ' אמר רב הונא פתילות שאמרו </w:t>
      </w:r>
      <w:r w:rsidR="00A00C07">
        <w:rPr>
          <w:rtl/>
        </w:rPr>
        <w:br/>
      </w:r>
      <w:r w:rsidR="00A00C07" w:rsidRPr="00A00C07">
        <w:rPr>
          <w:spacing w:val="513"/>
          <w:rtl/>
        </w:rPr>
        <w:t> </w:t>
      </w:r>
      <w:r>
        <w:rPr>
          <w:rFonts w:hint="cs"/>
          <w:rtl/>
        </w:rPr>
        <w:t xml:space="preserve">חכמים אין מדליקין בהן בשבת אין מדליקין בהן בחנוכה בין בשבת בין בחול אמר רבא מאי טעמא דרבה קסבר כבתה זקוק לה ומותר להשתמש לאורה וא"כ בחול אין מדליק משום דזקוק לה לתקנה ושמא [יפשע] ולא יתקן ובשבת אין מדלקין </w:t>
      </w:r>
      <w:r w:rsidR="00A00C07">
        <w:rPr>
          <w:rtl/>
        </w:rPr>
        <w:br/>
      </w:r>
      <w:r w:rsidR="00A00C07">
        <w:rPr>
          <w:rtl/>
        </w:rPr>
        <w:tab/>
      </w:r>
      <w:r>
        <w:rPr>
          <w:rFonts w:hint="cs"/>
          <w:rtl/>
        </w:rPr>
        <w:t>משום שמא יטה דמותר להשתמש לאורה.</w:t>
      </w:r>
    </w:p>
    <w:p w14:paraId="1A9AEFFD" w14:textId="53A71162" w:rsidR="00725BEF" w:rsidRDefault="00725BEF" w:rsidP="00A00C07">
      <w:pPr>
        <w:tabs>
          <w:tab w:val="center" w:pos="1848"/>
        </w:tabs>
        <w:rPr>
          <w:rtl/>
        </w:rPr>
      </w:pPr>
      <w:r w:rsidRPr="00A00C07">
        <w:rPr>
          <w:rFonts w:cs="TehilaMedium" w:hint="cs"/>
          <w:bCs/>
          <w:rtl/>
        </w:rPr>
        <w:t>והקשו</w:t>
      </w:r>
      <w:r>
        <w:rPr>
          <w:rFonts w:hint="cs"/>
          <w:rtl/>
        </w:rPr>
        <w:t xml:space="preserve"> התוס' ושאר ראשונים מנא ליה </w:t>
      </w:r>
      <w:r w:rsidR="00A00C07">
        <w:rPr>
          <w:rtl/>
        </w:rPr>
        <w:br/>
      </w:r>
      <w:r w:rsidR="00A00C07" w:rsidRPr="00A00C07">
        <w:rPr>
          <w:spacing w:val="663"/>
          <w:rtl/>
        </w:rPr>
        <w:t> </w:t>
      </w:r>
      <w:r>
        <w:rPr>
          <w:rFonts w:hint="cs"/>
          <w:rtl/>
        </w:rPr>
        <w:t xml:space="preserve">לרבה דטעמא דרב הונא דבשבת אין מדליקין משום דמותר להשתמש לאורה דילמא טעמא נמי משום דזקוק לה ואין יכול להדליק בשבת ות' בתוס' [וכן איתא ברשב"א] דא"כ לא היה צריך לומר בין בחול בין בשבת כיון דתרוויהו חד טעמא הוא, והנה ברמב"ן כתב ישוב אחר לקושיא זו וכתב דבשבת כיון דא"א ליזקק לה לא חיישינן ומדליקין בכל השמנים כיון דאפשר שלא יכבו ואף דאפשר נמי שיכבו לא אכפית לן ושבת למ"ד זקוק לה דינו שווה כמו לחול למ"ד אין זקוק לה, שבשבת לדברי הכל כבתה אין זקוק לה ואין לך בה </w:t>
      </w:r>
      <w:r w:rsidR="00A00C07">
        <w:rPr>
          <w:rtl/>
        </w:rPr>
        <w:br/>
      </w:r>
      <w:r w:rsidR="00A00C07">
        <w:rPr>
          <w:rtl/>
        </w:rPr>
        <w:tab/>
      </w:r>
      <w:r>
        <w:rPr>
          <w:rFonts w:hint="cs"/>
          <w:rtl/>
        </w:rPr>
        <w:t>אלא מצות הדלקה בלבד עכ"ל הרמב"ן.</w:t>
      </w:r>
    </w:p>
    <w:p w14:paraId="44F586CA" w14:textId="62F990B0" w:rsidR="00725BEF" w:rsidRDefault="00725BEF" w:rsidP="00522F91">
      <w:pPr>
        <w:tabs>
          <w:tab w:val="center" w:pos="1848"/>
        </w:tabs>
        <w:spacing w:after="200"/>
        <w:rPr>
          <w:rtl/>
        </w:rPr>
      </w:pPr>
      <w:r w:rsidRPr="00A00C07">
        <w:rPr>
          <w:rFonts w:cs="TehilaMedium" w:hint="cs"/>
          <w:bCs/>
          <w:rtl/>
        </w:rPr>
        <w:t>ומבואר</w:t>
      </w:r>
      <w:r>
        <w:rPr>
          <w:rFonts w:hint="cs"/>
          <w:rtl/>
        </w:rPr>
        <w:t xml:space="preserve"> ברמב"ן חידוש עצום שאף למ"ד </w:t>
      </w:r>
      <w:r w:rsidR="00A00C07">
        <w:rPr>
          <w:rtl/>
        </w:rPr>
        <w:br/>
      </w:r>
      <w:r w:rsidR="00A00C07" w:rsidRPr="00A00C07">
        <w:rPr>
          <w:spacing w:val="676"/>
          <w:rtl/>
        </w:rPr>
        <w:t> </w:t>
      </w:r>
      <w:r>
        <w:rPr>
          <w:rFonts w:hint="cs"/>
          <w:rtl/>
        </w:rPr>
        <w:t xml:space="preserve">זקוק לה בשבת לא יתכן לומר שזקוק לה ולכאו' יוצא מדבריו שלמ"ד זקוק לה יש שני גדרי מצוה שונים בין שבת </w:t>
      </w:r>
      <w:r>
        <w:rPr>
          <w:rFonts w:hint="cs"/>
          <w:rtl/>
        </w:rPr>
        <w:t xml:space="preserve">לחול דבחול גדר המצוה הוא לדאוג שיהיה דלוק ובשבת אין לך אלא מצות הדלקה דהיינו להדליק ותו לא וזה תמוה דהיתכן </w:t>
      </w:r>
      <w:r w:rsidR="00A00C07">
        <w:rPr>
          <w:rtl/>
        </w:rPr>
        <w:br/>
      </w:r>
      <w:r w:rsidR="00A00C07">
        <w:rPr>
          <w:rtl/>
        </w:rPr>
        <w:tab/>
      </w:r>
      <w:r>
        <w:rPr>
          <w:rFonts w:hint="cs"/>
          <w:rtl/>
        </w:rPr>
        <w:t>שיש כאן שני גדרי מצוה.</w:t>
      </w:r>
    </w:p>
    <w:p w14:paraId="1A40D0F9" w14:textId="6089CD5B" w:rsidR="00725BEF" w:rsidRDefault="00725BEF" w:rsidP="00522F91">
      <w:pPr>
        <w:tabs>
          <w:tab w:val="center" w:pos="1848"/>
        </w:tabs>
        <w:spacing w:after="200"/>
        <w:rPr>
          <w:rtl/>
        </w:rPr>
      </w:pPr>
      <w:r w:rsidRPr="00A00C07">
        <w:rPr>
          <w:rFonts w:cs="TehilaMedium" w:hint="cs"/>
          <w:bCs/>
          <w:rtl/>
        </w:rPr>
        <w:t>והנה</w:t>
      </w:r>
      <w:r>
        <w:rPr>
          <w:rFonts w:hint="cs"/>
          <w:rtl/>
        </w:rPr>
        <w:t xml:space="preserve"> מדברי התוס' וכן הרי"ף נראה שלא </w:t>
      </w:r>
      <w:r w:rsidR="00A00C07">
        <w:rPr>
          <w:rtl/>
        </w:rPr>
        <w:br/>
      </w:r>
      <w:r w:rsidR="00A00C07" w:rsidRPr="00A00C07">
        <w:rPr>
          <w:spacing w:val="437"/>
          <w:rtl/>
        </w:rPr>
        <w:t> </w:t>
      </w:r>
      <w:r>
        <w:rPr>
          <w:rFonts w:hint="cs"/>
          <w:rtl/>
        </w:rPr>
        <w:t xml:space="preserve">סברו כרמב"ן דהתוס' הבינו שאפשר ללמוד משבת לדין זקוק לה וכן הרי"ף כתב להדיא שמזה שמדליק בשבת ש"מ אין זקוק לה וצ"ב במה שורש הפלוגתא של הרמב"ן עם התוס' והרי"ף שכן סברו ששייך אף </w:t>
      </w:r>
      <w:r w:rsidR="00A00C07">
        <w:rPr>
          <w:rtl/>
        </w:rPr>
        <w:br/>
      </w:r>
      <w:r w:rsidR="00A00C07">
        <w:rPr>
          <w:rtl/>
        </w:rPr>
        <w:tab/>
      </w:r>
      <w:r>
        <w:rPr>
          <w:rFonts w:hint="cs"/>
          <w:rtl/>
        </w:rPr>
        <w:t>בשבת העניין של זקוק לה.</w:t>
      </w:r>
    </w:p>
    <w:p w14:paraId="439D8EEA" w14:textId="578D6E15" w:rsidR="00725BEF" w:rsidRDefault="00725BEF" w:rsidP="00522F91">
      <w:pPr>
        <w:tabs>
          <w:tab w:val="center" w:pos="1848"/>
        </w:tabs>
        <w:spacing w:after="200"/>
        <w:rPr>
          <w:rtl/>
        </w:rPr>
      </w:pPr>
      <w:r w:rsidRPr="00A00C07">
        <w:rPr>
          <w:rFonts w:cs="TehilaMedium" w:hint="cs"/>
          <w:bCs/>
          <w:rtl/>
        </w:rPr>
        <w:t>והנה</w:t>
      </w:r>
      <w:r>
        <w:rPr>
          <w:rFonts w:hint="cs"/>
          <w:rtl/>
        </w:rPr>
        <w:t xml:space="preserve"> עוד דבר מצינו בסוגיין הר"ן הביא </w:t>
      </w:r>
      <w:r w:rsidR="00A00C07">
        <w:rPr>
          <w:rtl/>
        </w:rPr>
        <w:br/>
      </w:r>
      <w:r w:rsidR="00A00C07" w:rsidRPr="00A00C07">
        <w:rPr>
          <w:spacing w:val="451"/>
          <w:rtl/>
        </w:rPr>
        <w:t> </w:t>
      </w:r>
      <w:r>
        <w:rPr>
          <w:rFonts w:hint="cs"/>
          <w:rtl/>
        </w:rPr>
        <w:t xml:space="preserve">משו"ת הרשב"א ח"א תקל"ט שנשאל אם אחר שהדליק בא לתקנה וכבה בשוגג האם חייב לחזור ולהדליק וכתב הרשב"א שמסתברא שאין חייב דהוה ליה ככבתה שאין זקוק לה, אבל במהרש"ל בתשובה ס' פ"ה וכן משמעות דברי האו"ז בהל' חנוכה ס' שכ"ב דכתבו דאין זקוק לה הכוונה שאין חייב לתקנה אבל מ"מ ראוי ומצוה מן המובחר לחזור ולהדליק ומקיים בזה מצוה </w:t>
      </w:r>
      <w:r w:rsidR="00A00C07">
        <w:rPr>
          <w:rtl/>
        </w:rPr>
        <w:br/>
      </w:r>
      <w:r w:rsidR="00A00C07">
        <w:rPr>
          <w:rtl/>
        </w:rPr>
        <w:tab/>
      </w:r>
      <w:r>
        <w:rPr>
          <w:rFonts w:hint="cs"/>
          <w:rtl/>
        </w:rPr>
        <w:t>ודלא כהרשב"א.</w:t>
      </w:r>
    </w:p>
    <w:p w14:paraId="650E7393" w14:textId="7C8C5C06" w:rsidR="00725BEF" w:rsidRPr="00725BEF" w:rsidRDefault="00725BEF" w:rsidP="00831E1D">
      <w:pPr>
        <w:tabs>
          <w:tab w:val="center" w:pos="1848"/>
        </w:tabs>
      </w:pPr>
      <w:r w:rsidRPr="00A00C07">
        <w:rPr>
          <w:rFonts w:cs="TehilaMedium" w:hint="cs"/>
          <w:bCs/>
          <w:rtl/>
        </w:rPr>
        <w:t>והנה</w:t>
      </w:r>
      <w:r>
        <w:rPr>
          <w:rFonts w:hint="cs"/>
          <w:rtl/>
        </w:rPr>
        <w:t xml:space="preserve"> באמת צריך להבין מה ההבנה בדברי </w:t>
      </w:r>
      <w:r w:rsidR="00A00C07">
        <w:rPr>
          <w:rtl/>
        </w:rPr>
        <w:br/>
      </w:r>
      <w:r w:rsidR="00A00C07" w:rsidRPr="00A00C07">
        <w:rPr>
          <w:spacing w:val="412"/>
          <w:rtl/>
        </w:rPr>
        <w:t> </w:t>
      </w:r>
      <w:r>
        <w:rPr>
          <w:rFonts w:hint="cs"/>
          <w:rtl/>
        </w:rPr>
        <w:t xml:space="preserve">המהרש"ל שראוי ומצוה לחזור לתקנה והרי לכאו' למ"ד אין זקוק לה כבר </w:t>
      </w:r>
    </w:p>
    <w:sectPr w:rsidR="00725BEF" w:rsidRPr="00725BEF" w:rsidSect="00761857">
      <w:footnotePr>
        <w:numFmt w:val="hebrew1"/>
      </w:footnotePr>
      <w:type w:val="continuous"/>
      <w:pgSz w:w="9978" w:h="14179" w:code="138"/>
      <w:pgMar w:top="1440" w:right="1080" w:bottom="1440" w:left="1080" w:header="708" w:footer="708" w:gutter="0"/>
      <w:pgNumType w:fmt="hebrew1"/>
      <w:cols w:num="2" w:space="425"/>
      <w:bidi/>
      <w:rtlGutter/>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2CF3" w14:textId="77777777" w:rsidR="00215386" w:rsidRDefault="00215386" w:rsidP="00725BEF">
      <w:pPr>
        <w:spacing w:after="0" w:line="240" w:lineRule="auto"/>
      </w:pPr>
      <w:r>
        <w:separator/>
      </w:r>
    </w:p>
  </w:endnote>
  <w:endnote w:type="continuationSeparator" w:id="0">
    <w:p w14:paraId="0DC1E27A" w14:textId="77777777" w:rsidR="00215386" w:rsidRDefault="00215386" w:rsidP="0072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DP">
    <w:panose1 w:val="02000600000000000000"/>
    <w:charset w:val="00"/>
    <w:family w:val="auto"/>
    <w:pitch w:val="variable"/>
    <w:sig w:usb0="00000803" w:usb1="40000000" w:usb2="00000000" w:usb3="00000000" w:csb0="00000021" w:csb1="00000000"/>
    <w:embedRegular r:id="rId1" w:fontKey="{90D797C3-F7BD-4770-AC2C-53DC9C7591CB}"/>
  </w:font>
  <w:font w:name="Times New Roman">
    <w:panose1 w:val="02020603050405020304"/>
    <w:charset w:val="00"/>
    <w:family w:val="roman"/>
    <w:pitch w:val="variable"/>
    <w:sig w:usb0="E0002EFF" w:usb1="C000785B" w:usb2="00000009" w:usb3="00000000" w:csb0="000001FF" w:csb1="00000000"/>
  </w:font>
  <w:font w:name="Guttman Drogolin">
    <w:panose1 w:val="02010401010101010101"/>
    <w:charset w:val="B1"/>
    <w:family w:val="auto"/>
    <w:pitch w:val="variable"/>
    <w:sig w:usb0="00000801" w:usb1="40000000" w:usb2="00000000" w:usb3="00000000" w:csb0="00000020" w:csb1="00000000"/>
    <w:embedBold r:id="rId2" w:subsetted="1" w:fontKey="{30514716-53EC-40E2-A42B-AC0DB8CA3EA0}"/>
  </w:font>
  <w:font w:name="Guttman Mantova">
    <w:panose1 w:val="02010401010101010101"/>
    <w:charset w:val="B1"/>
    <w:family w:val="auto"/>
    <w:pitch w:val="variable"/>
    <w:sig w:usb0="00000801" w:usb1="40000000" w:usb2="00000000" w:usb3="00000000" w:csb0="00000020" w:csb1="00000000"/>
  </w:font>
  <w:font w:name="NatVignetteTwo">
    <w:panose1 w:val="05090102010101010101"/>
    <w:charset w:val="02"/>
    <w:family w:val="roman"/>
    <w:pitch w:val="variable"/>
    <w:sig w:usb0="80000000" w:usb1="10000000" w:usb2="00000000" w:usb3="00000000" w:csb0="80000000" w:csb1="00000000"/>
    <w:embedRegular r:id="rId3" w:fontKey="{EFF8AC2A-F3DA-4775-A7AF-26040A41F11E}"/>
  </w:font>
  <w:font w:name="TehilaMedium">
    <w:panose1 w:val="00000000000000000000"/>
    <w:charset w:val="B1"/>
    <w:family w:val="auto"/>
    <w:pitch w:val="variable"/>
    <w:sig w:usb0="00000801" w:usb1="00000000" w:usb2="00000000" w:usb3="00000000" w:csb0="00000020" w:csb1="00000000"/>
    <w:embedBold r:id="rId4" w:subsetted="1" w:fontKey="{5C4F4210-A8A2-48BD-BB2A-2DA97A1CCCEB}"/>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B1E0" w14:textId="77777777" w:rsidR="00215386" w:rsidRDefault="00215386" w:rsidP="00725BEF">
      <w:pPr>
        <w:spacing w:after="0" w:line="240" w:lineRule="auto"/>
      </w:pPr>
      <w:r>
        <w:separator/>
      </w:r>
    </w:p>
  </w:footnote>
  <w:footnote w:type="continuationSeparator" w:id="0">
    <w:p w14:paraId="23B30EEA" w14:textId="77777777" w:rsidR="00215386" w:rsidRDefault="00215386" w:rsidP="0072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6188" w14:textId="765BDB78" w:rsidR="00481DDD" w:rsidRPr="00831E1D" w:rsidRDefault="00481DDD" w:rsidP="00481DDD">
    <w:pPr>
      <w:pStyle w:val="aa"/>
      <w:tabs>
        <w:tab w:val="clear" w:pos="4153"/>
        <w:tab w:val="center" w:leader="underscore" w:pos="8306"/>
      </w:tabs>
      <w:bidi w:val="0"/>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5CB8" w14:textId="052A82B2" w:rsidR="00725BEF" w:rsidRDefault="00725BEF" w:rsidP="00761857">
    <w:pPr>
      <w:pStyle w:val="aa"/>
      <w:tabs>
        <w:tab w:val="clear" w:pos="4153"/>
        <w:tab w:val="center" w:leader="underscore"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TrueTypeFonts/>
  <w:saveSubsetFonts/>
  <w:proofState w:grammar="clean"/>
  <w:defaultTabStop w:val="720"/>
  <w:evenAndOddHeaders/>
  <w:characterSpacingControl w:val="doNotCompress"/>
  <w:hdrShapeDefaults>
    <o:shapedefaults v:ext="edit" spidmax="2050"/>
  </w:hdrShapeDefaults>
  <w:footnotePr>
    <w:numFmt w:val="hebrew1"/>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EF"/>
    <w:rsid w:val="001C4B98"/>
    <w:rsid w:val="001C5738"/>
    <w:rsid w:val="001E1E4A"/>
    <w:rsid w:val="001E3EFB"/>
    <w:rsid w:val="00215386"/>
    <w:rsid w:val="002A7A41"/>
    <w:rsid w:val="00334FCB"/>
    <w:rsid w:val="003D7A6D"/>
    <w:rsid w:val="00420992"/>
    <w:rsid w:val="00481DDD"/>
    <w:rsid w:val="004D6BE7"/>
    <w:rsid w:val="00522F91"/>
    <w:rsid w:val="0068168A"/>
    <w:rsid w:val="00682F87"/>
    <w:rsid w:val="006850ED"/>
    <w:rsid w:val="00725BEF"/>
    <w:rsid w:val="00761857"/>
    <w:rsid w:val="007B4132"/>
    <w:rsid w:val="007E6901"/>
    <w:rsid w:val="00815939"/>
    <w:rsid w:val="00831E1D"/>
    <w:rsid w:val="008F70E3"/>
    <w:rsid w:val="00924D8C"/>
    <w:rsid w:val="00961FBC"/>
    <w:rsid w:val="009633C1"/>
    <w:rsid w:val="00973034"/>
    <w:rsid w:val="009816F8"/>
    <w:rsid w:val="00A00C07"/>
    <w:rsid w:val="00A37F07"/>
    <w:rsid w:val="00B02DC2"/>
    <w:rsid w:val="00B2646F"/>
    <w:rsid w:val="00B35C04"/>
    <w:rsid w:val="00B42F73"/>
    <w:rsid w:val="00C546E4"/>
    <w:rsid w:val="00C6201D"/>
    <w:rsid w:val="00CB75E6"/>
    <w:rsid w:val="00D55C3F"/>
    <w:rsid w:val="00D60E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325A8"/>
  <w15:chartTrackingRefBased/>
  <w15:docId w15:val="{1D915CF2-661C-401E-B725-FCE10375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738"/>
    <w:pPr>
      <w:bidi/>
      <w:spacing w:after="120" w:line="276" w:lineRule="auto"/>
      <w:jc w:val="both"/>
    </w:pPr>
    <w:rPr>
      <w:rFonts w:asciiTheme="majorHAnsi" w:hAnsiTheme="majorHAnsi" w:cs="FrankRuehl DP"/>
      <w:sz w:val="24"/>
      <w:szCs w:val="28"/>
    </w:rPr>
  </w:style>
  <w:style w:type="paragraph" w:styleId="1">
    <w:name w:val="heading 1"/>
    <w:basedOn w:val="a"/>
    <w:next w:val="a"/>
    <w:link w:val="10"/>
    <w:autoRedefine/>
    <w:uiPriority w:val="9"/>
    <w:qFormat/>
    <w:rsid w:val="00831E1D"/>
    <w:pPr>
      <w:keepNext/>
      <w:keepLines/>
      <w:pageBreakBefore/>
      <w:spacing w:before="360" w:after="360" w:line="259" w:lineRule="auto"/>
      <w:jc w:val="center"/>
      <w:outlineLvl w:val="0"/>
    </w:pPr>
    <w:rPr>
      <w:rFonts w:eastAsiaTheme="majorEastAsia" w:cs="Guttman Drogolin"/>
      <w:bCs/>
      <w:sz w:val="32"/>
      <w:szCs w:val="32"/>
    </w:rPr>
  </w:style>
  <w:style w:type="paragraph" w:styleId="2">
    <w:name w:val="heading 2"/>
    <w:basedOn w:val="a"/>
    <w:next w:val="a"/>
    <w:link w:val="20"/>
    <w:autoRedefine/>
    <w:uiPriority w:val="9"/>
    <w:unhideWhenUsed/>
    <w:qFormat/>
    <w:rsid w:val="009816F8"/>
    <w:pPr>
      <w:keepNext/>
      <w:spacing w:before="40" w:after="0"/>
      <w:jc w:val="center"/>
      <w:outlineLvl w:val="1"/>
    </w:pPr>
    <w:rPr>
      <w:rFonts w:asciiTheme="majorBidi" w:hAnsiTheme="majorBidi" w:cs="Guttman Drogolin"/>
      <w:b/>
      <w:bCs/>
      <w:szCs w:val="24"/>
    </w:rPr>
  </w:style>
  <w:style w:type="paragraph" w:styleId="3">
    <w:name w:val="heading 3"/>
    <w:basedOn w:val="2"/>
    <w:next w:val="a"/>
    <w:link w:val="30"/>
    <w:uiPriority w:val="9"/>
    <w:unhideWhenUsed/>
    <w:qFormat/>
    <w:rsid w:val="00725BEF"/>
    <w:pPr>
      <w:keepLines/>
      <w:spacing w:line="259" w:lineRule="auto"/>
      <w:outlineLvl w:val="2"/>
    </w:pPr>
    <w:rPr>
      <w:rFonts w:eastAsiaTheme="majorEastAsia" w:cstheme="majorBidi"/>
      <w:b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31E1D"/>
    <w:rPr>
      <w:rFonts w:asciiTheme="majorHAnsi" w:eastAsiaTheme="majorEastAsia" w:hAnsiTheme="majorHAnsi" w:cs="Guttman Drogolin"/>
      <w:bCs/>
      <w:sz w:val="32"/>
      <w:szCs w:val="32"/>
    </w:rPr>
  </w:style>
  <w:style w:type="character" w:customStyle="1" w:styleId="20">
    <w:name w:val="כותרת 2 תו"/>
    <w:basedOn w:val="a0"/>
    <w:link w:val="2"/>
    <w:uiPriority w:val="9"/>
    <w:rsid w:val="009816F8"/>
    <w:rPr>
      <w:rFonts w:asciiTheme="majorBidi" w:hAnsiTheme="majorBidi" w:cs="Guttman Drogolin"/>
      <w:b/>
      <w:bCs/>
      <w:sz w:val="24"/>
      <w:szCs w:val="24"/>
    </w:rPr>
  </w:style>
  <w:style w:type="paragraph" w:customStyle="1" w:styleId="a3">
    <w:name w:val="סימן"/>
    <w:basedOn w:val="a"/>
    <w:link w:val="a4"/>
    <w:qFormat/>
    <w:rsid w:val="004D6BE7"/>
    <w:pPr>
      <w:pageBreakBefore/>
      <w:spacing w:before="1200" w:after="200"/>
      <w:jc w:val="center"/>
    </w:pPr>
    <w:rPr>
      <w:rFonts w:ascii="Guttman Mantova" w:hAnsi="Guttman Mantova" w:cs="Guttman Mantova"/>
      <w:b/>
      <w:bCs/>
      <w:sz w:val="30"/>
      <w:szCs w:val="30"/>
    </w:rPr>
  </w:style>
  <w:style w:type="character" w:customStyle="1" w:styleId="a4">
    <w:name w:val="סימן תו"/>
    <w:basedOn w:val="a0"/>
    <w:link w:val="a3"/>
    <w:rsid w:val="004D6BE7"/>
    <w:rPr>
      <w:rFonts w:ascii="Guttman Mantova" w:hAnsi="Guttman Mantova" w:cs="Guttman Mantova"/>
      <w:b/>
      <w:bCs/>
      <w:sz w:val="30"/>
      <w:szCs w:val="30"/>
    </w:rPr>
  </w:style>
  <w:style w:type="paragraph" w:customStyle="1" w:styleId="a5">
    <w:name w:val="עיטור"/>
    <w:basedOn w:val="a"/>
    <w:link w:val="a6"/>
    <w:qFormat/>
    <w:rsid w:val="00815939"/>
    <w:pPr>
      <w:tabs>
        <w:tab w:val="center" w:pos="1848"/>
      </w:tabs>
      <w:spacing w:before="240" w:after="200"/>
      <w:jc w:val="center"/>
    </w:pPr>
    <w:rPr>
      <w:rFonts w:ascii="NatVignetteTwo" w:hAnsi="NatVignetteTwo"/>
      <w:sz w:val="28"/>
      <w:szCs w:val="36"/>
    </w:rPr>
  </w:style>
  <w:style w:type="character" w:customStyle="1" w:styleId="a6">
    <w:name w:val="עיטור תו"/>
    <w:basedOn w:val="a0"/>
    <w:link w:val="a5"/>
    <w:rsid w:val="00815939"/>
    <w:rPr>
      <w:rFonts w:ascii="NatVignetteTwo" w:hAnsi="NatVignetteTwo" w:cs="FrankRuehl DP"/>
      <w:sz w:val="28"/>
      <w:szCs w:val="36"/>
    </w:rPr>
  </w:style>
  <w:style w:type="paragraph" w:styleId="a7">
    <w:name w:val="footnote text"/>
    <w:basedOn w:val="a"/>
    <w:link w:val="a8"/>
    <w:uiPriority w:val="99"/>
    <w:semiHidden/>
    <w:unhideWhenUsed/>
    <w:rsid w:val="00725BEF"/>
    <w:pPr>
      <w:spacing w:after="0" w:line="240" w:lineRule="auto"/>
    </w:pPr>
    <w:rPr>
      <w:rFonts w:asciiTheme="minorHAnsi" w:hAnsiTheme="minorHAnsi" w:cstheme="minorBidi"/>
      <w:sz w:val="20"/>
      <w:szCs w:val="20"/>
    </w:rPr>
  </w:style>
  <w:style w:type="character" w:customStyle="1" w:styleId="a8">
    <w:name w:val="טקסט הערת שוליים תו"/>
    <w:basedOn w:val="a0"/>
    <w:link w:val="a7"/>
    <w:uiPriority w:val="99"/>
    <w:semiHidden/>
    <w:rsid w:val="00725BEF"/>
    <w:rPr>
      <w:sz w:val="20"/>
      <w:szCs w:val="20"/>
    </w:rPr>
  </w:style>
  <w:style w:type="character" w:styleId="a9">
    <w:name w:val="footnote reference"/>
    <w:basedOn w:val="a0"/>
    <w:uiPriority w:val="99"/>
    <w:semiHidden/>
    <w:unhideWhenUsed/>
    <w:rsid w:val="00725BEF"/>
    <w:rPr>
      <w:vertAlign w:val="superscript"/>
    </w:rPr>
  </w:style>
  <w:style w:type="character" w:customStyle="1" w:styleId="30">
    <w:name w:val="כותרת 3 תו"/>
    <w:basedOn w:val="a0"/>
    <w:link w:val="3"/>
    <w:uiPriority w:val="9"/>
    <w:rsid w:val="00725BEF"/>
    <w:rPr>
      <w:rFonts w:asciiTheme="majorBidi" w:eastAsiaTheme="majorEastAsia" w:hAnsiTheme="majorBidi" w:cstheme="majorBidi"/>
      <w:bCs/>
      <w:sz w:val="26"/>
      <w:szCs w:val="26"/>
    </w:rPr>
  </w:style>
  <w:style w:type="paragraph" w:styleId="aa">
    <w:name w:val="header"/>
    <w:basedOn w:val="a"/>
    <w:link w:val="ab"/>
    <w:uiPriority w:val="99"/>
    <w:unhideWhenUsed/>
    <w:rsid w:val="00725BEF"/>
    <w:pPr>
      <w:tabs>
        <w:tab w:val="center" w:pos="4153"/>
        <w:tab w:val="right" w:pos="8306"/>
      </w:tabs>
      <w:spacing w:after="0" w:line="240" w:lineRule="auto"/>
    </w:pPr>
  </w:style>
  <w:style w:type="character" w:customStyle="1" w:styleId="ab">
    <w:name w:val="כותרת עליונה תו"/>
    <w:basedOn w:val="a0"/>
    <w:link w:val="aa"/>
    <w:uiPriority w:val="99"/>
    <w:rsid w:val="00725BEF"/>
    <w:rPr>
      <w:rFonts w:asciiTheme="majorHAnsi" w:hAnsiTheme="majorHAnsi" w:cstheme="majorBidi"/>
      <w:sz w:val="24"/>
      <w:szCs w:val="26"/>
    </w:rPr>
  </w:style>
  <w:style w:type="paragraph" w:styleId="ac">
    <w:name w:val="footer"/>
    <w:basedOn w:val="a"/>
    <w:link w:val="ad"/>
    <w:uiPriority w:val="99"/>
    <w:unhideWhenUsed/>
    <w:rsid w:val="00725BEF"/>
    <w:pPr>
      <w:tabs>
        <w:tab w:val="center" w:pos="4153"/>
        <w:tab w:val="right" w:pos="8306"/>
      </w:tabs>
      <w:spacing w:after="0" w:line="240" w:lineRule="auto"/>
    </w:pPr>
  </w:style>
  <w:style w:type="character" w:customStyle="1" w:styleId="ad">
    <w:name w:val="כותרת תחתונה תו"/>
    <w:basedOn w:val="a0"/>
    <w:link w:val="ac"/>
    <w:uiPriority w:val="99"/>
    <w:rsid w:val="00725BEF"/>
    <w:rPr>
      <w:rFonts w:asciiTheme="majorHAnsi" w:hAnsiTheme="majorHAnsi" w:cstheme="majorBidi"/>
      <w:sz w:val="24"/>
      <w:szCs w:val="26"/>
    </w:rPr>
  </w:style>
  <w:style w:type="paragraph" w:styleId="ae">
    <w:name w:val="No Spacing"/>
    <w:uiPriority w:val="1"/>
    <w:qFormat/>
    <w:rsid w:val="001E1E4A"/>
    <w:pPr>
      <w:bidi/>
      <w:spacing w:after="0" w:line="240" w:lineRule="auto"/>
      <w:jc w:val="both"/>
    </w:pPr>
    <w:rPr>
      <w:rFonts w:asciiTheme="majorHAnsi" w:hAnsiTheme="majorHAnsi" w:cs="FrankRuehl DP"/>
      <w:sz w:val="24"/>
      <w:szCs w:val="28"/>
    </w:rPr>
  </w:style>
  <w:style w:type="paragraph" w:styleId="af">
    <w:name w:val="TOC Heading"/>
    <w:basedOn w:val="1"/>
    <w:next w:val="a"/>
    <w:uiPriority w:val="39"/>
    <w:unhideWhenUsed/>
    <w:qFormat/>
    <w:rsid w:val="00961FBC"/>
    <w:pPr>
      <w:pageBreakBefore w:val="0"/>
      <w:spacing w:before="240" w:after="0"/>
      <w:jc w:val="left"/>
      <w:outlineLvl w:val="9"/>
    </w:pPr>
    <w:rPr>
      <w:rFonts w:cstheme="majorBidi"/>
      <w:bCs w:val="0"/>
      <w:color w:val="2F5496" w:themeColor="accent1" w:themeShade="BF"/>
      <w:rtl/>
      <w:cs/>
    </w:rPr>
  </w:style>
  <w:style w:type="paragraph" w:styleId="TOC1">
    <w:name w:val="toc 1"/>
    <w:basedOn w:val="a"/>
    <w:next w:val="a"/>
    <w:autoRedefine/>
    <w:uiPriority w:val="39"/>
    <w:unhideWhenUsed/>
    <w:rsid w:val="00961FBC"/>
    <w:pPr>
      <w:spacing w:after="100"/>
    </w:pPr>
  </w:style>
  <w:style w:type="paragraph" w:styleId="TOC2">
    <w:name w:val="toc 2"/>
    <w:basedOn w:val="a"/>
    <w:next w:val="a"/>
    <w:autoRedefine/>
    <w:uiPriority w:val="39"/>
    <w:unhideWhenUsed/>
    <w:rsid w:val="00961FBC"/>
    <w:pPr>
      <w:spacing w:after="100"/>
      <w:ind w:left="240"/>
    </w:pPr>
  </w:style>
  <w:style w:type="paragraph" w:styleId="TOC3">
    <w:name w:val="toc 3"/>
    <w:basedOn w:val="a"/>
    <w:next w:val="a"/>
    <w:autoRedefine/>
    <w:uiPriority w:val="39"/>
    <w:unhideWhenUsed/>
    <w:rsid w:val="00961FBC"/>
    <w:pPr>
      <w:spacing w:after="100"/>
      <w:ind w:left="480"/>
    </w:pPr>
  </w:style>
  <w:style w:type="character" w:styleId="Hyperlink">
    <w:name w:val="Hyperlink"/>
    <w:basedOn w:val="a0"/>
    <w:uiPriority w:val="99"/>
    <w:unhideWhenUsed/>
    <w:rsid w:val="00961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106B-B443-4C2F-94D0-504AA53B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424</Words>
  <Characters>2125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dc:creator>
  <cp:keywords/>
  <dc:description/>
  <cp:lastModifiedBy>User</cp:lastModifiedBy>
  <cp:revision>3</cp:revision>
  <cp:lastPrinted>2023-12-11T08:13:00Z</cp:lastPrinted>
  <dcterms:created xsi:type="dcterms:W3CDTF">2023-12-12T15:04:00Z</dcterms:created>
  <dcterms:modified xsi:type="dcterms:W3CDTF">2023-12-12T15:05:00Z</dcterms:modified>
</cp:coreProperties>
</file>